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D6666">
      <w:pPr>
        <w:shd w:val="clear" w:color="auto" w:fill="auto"/>
        <w:tabs>
          <w:tab w:val="left" w:pos="2730"/>
        </w:tabs>
        <w:spacing w:line="360" w:lineRule="auto"/>
        <w:ind w:firstLine="420"/>
        <w:jc w:val="right"/>
        <w:rPr>
          <w:rFonts w:hint="eastAsia" w:ascii="宋体" w:hAnsi="宋体" w:eastAsia="宋体" w:cs="宋体"/>
          <w:b/>
          <w:bCs/>
          <w:color w:val="000000"/>
          <w:sz w:val="28"/>
          <w:szCs w:val="20"/>
          <w:highlight w:val="none"/>
          <w:lang w:eastAsia="zh-CN"/>
        </w:rPr>
      </w:pPr>
      <w:bookmarkStart w:id="0" w:name="_Toc528771312"/>
      <w:bookmarkStart w:id="1" w:name="_Toc27744861"/>
    </w:p>
    <w:p w14:paraId="148AF32B">
      <w:pPr>
        <w:pStyle w:val="155"/>
        <w:shd w:val="clear" w:color="auto" w:fill="auto"/>
        <w:ind w:left="0" w:leftChars="0" w:firstLine="0" w:firstLineChars="0"/>
        <w:jc w:val="center"/>
        <w:rPr>
          <w:rFonts w:hint="eastAsia" w:ascii="宋体" w:hAnsi="宋体" w:cs="宋体"/>
          <w:b/>
          <w:bCs/>
          <w:color w:val="000000"/>
          <w:sz w:val="52"/>
          <w:szCs w:val="28"/>
          <w:highlight w:val="none"/>
          <w:lang w:val="en-US" w:eastAsia="zh-CN" w:bidi="ar-SA"/>
        </w:rPr>
      </w:pPr>
    </w:p>
    <w:p w14:paraId="199158B5">
      <w:pPr>
        <w:pStyle w:val="155"/>
        <w:shd w:val="clear" w:color="auto" w:fill="auto"/>
        <w:ind w:left="0" w:leftChars="0" w:firstLine="0" w:firstLineChars="0"/>
        <w:jc w:val="center"/>
        <w:rPr>
          <w:color w:val="000000"/>
          <w:highlight w:val="none"/>
        </w:rPr>
      </w:pPr>
      <w:r>
        <w:rPr>
          <w:rFonts w:hint="eastAsia" w:ascii="宋体" w:hAnsi="宋体" w:cs="宋体"/>
          <w:b/>
          <w:bCs/>
          <w:color w:val="auto"/>
          <w:sz w:val="52"/>
          <w:szCs w:val="28"/>
          <w:highlight w:val="none"/>
          <w:lang w:val="en-US" w:eastAsia="zh-CN" w:bidi="ar-SA"/>
        </w:rPr>
        <w:t>南京市江宁医院</w:t>
      </w:r>
    </w:p>
    <w:p w14:paraId="6B77CB8C">
      <w:pPr>
        <w:shd w:val="clear" w:color="auto" w:fill="auto"/>
        <w:tabs>
          <w:tab w:val="left" w:pos="390"/>
          <w:tab w:val="center" w:pos="4404"/>
        </w:tabs>
        <w:jc w:val="center"/>
        <w:rPr>
          <w:rFonts w:hint="eastAsia" w:ascii="宋体" w:hAnsi="宋体" w:eastAsia="宋体" w:cs="宋体"/>
          <w:b/>
          <w:bCs/>
          <w:color w:val="000000"/>
          <w:sz w:val="52"/>
          <w:szCs w:val="28"/>
          <w:highlight w:val="none"/>
          <w:lang w:val="en-US" w:eastAsia="zh-CN" w:bidi="ar-SA"/>
        </w:rPr>
      </w:pPr>
      <w:r>
        <w:rPr>
          <w:rFonts w:hint="eastAsia" w:ascii="宋体" w:hAnsi="宋体" w:cs="宋体"/>
          <w:b/>
          <w:bCs/>
          <w:color w:val="000000"/>
          <w:sz w:val="52"/>
          <w:szCs w:val="28"/>
          <w:highlight w:val="none"/>
          <w:lang w:val="en-US" w:eastAsia="zh-CN" w:bidi="ar-SA"/>
        </w:rPr>
        <w:t>院内磋商</w:t>
      </w:r>
      <w:r>
        <w:rPr>
          <w:rFonts w:hint="eastAsia" w:ascii="宋体" w:hAnsi="宋体" w:eastAsia="宋体" w:cs="宋体"/>
          <w:b/>
          <w:bCs/>
          <w:color w:val="000000"/>
          <w:sz w:val="52"/>
          <w:szCs w:val="28"/>
          <w:highlight w:val="none"/>
          <w:lang w:val="en-US" w:eastAsia="zh-CN" w:bidi="ar-SA"/>
        </w:rPr>
        <w:t>文件</w:t>
      </w:r>
    </w:p>
    <w:p w14:paraId="793AF09D">
      <w:pPr>
        <w:pStyle w:val="49"/>
        <w:shd w:val="clear" w:color="auto" w:fill="auto"/>
        <w:rPr>
          <w:color w:val="000000"/>
          <w:highlight w:val="none"/>
        </w:rPr>
      </w:pPr>
    </w:p>
    <w:p w14:paraId="79EC13F7">
      <w:pPr>
        <w:pStyle w:val="49"/>
        <w:shd w:val="clear" w:color="auto" w:fill="auto"/>
        <w:rPr>
          <w:color w:val="000000"/>
          <w:highlight w:val="none"/>
        </w:rPr>
      </w:pPr>
    </w:p>
    <w:p w14:paraId="45FDC1C9">
      <w:pPr>
        <w:shd w:val="clear" w:color="auto" w:fill="auto"/>
        <w:jc w:val="center"/>
        <w:rPr>
          <w:rFonts w:hint="eastAsia" w:ascii="宋体" w:hAnsi="宋体" w:cs="宋体"/>
          <w:b/>
          <w:bCs/>
          <w:color w:val="000000"/>
          <w:sz w:val="36"/>
          <w:szCs w:val="36"/>
          <w:highlight w:val="none"/>
          <w:lang w:val="en-US" w:eastAsia="zh-CN"/>
        </w:rPr>
      </w:pPr>
      <w:r>
        <w:rPr>
          <w:rFonts w:hint="eastAsia" w:ascii="宋体" w:hAnsi="宋体" w:eastAsia="宋体" w:cs="宋体"/>
          <w:b/>
          <w:bCs/>
          <w:color w:val="000000"/>
          <w:sz w:val="36"/>
          <w:szCs w:val="36"/>
          <w:highlight w:val="none"/>
          <w:lang w:eastAsia="zh-CN"/>
        </w:rPr>
        <w:t>项目编号：</w:t>
      </w:r>
      <w:r>
        <w:rPr>
          <w:rFonts w:hint="eastAsia" w:ascii="宋体" w:hAnsi="宋体" w:cs="宋体"/>
          <w:b/>
          <w:bCs/>
          <w:color w:val="000000"/>
          <w:sz w:val="36"/>
          <w:szCs w:val="36"/>
          <w:highlight w:val="none"/>
          <w:lang w:val="en-US" w:eastAsia="zh-CN"/>
        </w:rPr>
        <w:t>JNYYYXZBBSBZC-2026-1004（二次）</w:t>
      </w:r>
    </w:p>
    <w:p w14:paraId="5A19BB24">
      <w:pPr>
        <w:shd w:val="clear" w:color="auto" w:fill="auto"/>
        <w:jc w:val="center"/>
        <w:rPr>
          <w:rFonts w:hint="default" w:ascii="宋体" w:hAnsi="宋体" w:cs="宋体"/>
          <w:b/>
          <w:bCs/>
          <w:color w:val="000000"/>
          <w:sz w:val="36"/>
          <w:szCs w:val="36"/>
          <w:highlight w:val="none"/>
          <w:lang w:val="en-US" w:eastAsia="zh-CN"/>
        </w:rPr>
      </w:pPr>
      <w:r>
        <w:rPr>
          <w:rFonts w:hint="eastAsia" w:ascii="宋体" w:hAnsi="宋体" w:cs="宋体"/>
          <w:b/>
          <w:bCs/>
          <w:color w:val="000000"/>
          <w:sz w:val="36"/>
          <w:szCs w:val="36"/>
          <w:highlight w:val="none"/>
          <w:lang w:val="en-US" w:eastAsia="zh-CN"/>
        </w:rPr>
        <w:t>项目名称：全自动血小板功能分析仪、全自动医用血液冷藏系统</w:t>
      </w:r>
    </w:p>
    <w:p w14:paraId="66AF7832">
      <w:pPr>
        <w:pStyle w:val="322"/>
        <w:shd w:val="clear" w:color="auto" w:fill="auto"/>
        <w:ind w:firstLine="0"/>
        <w:rPr>
          <w:rFonts w:ascii="黑体" w:hAnsi="宋体" w:eastAsia="黑体"/>
          <w:color w:val="000000"/>
          <w:sz w:val="32"/>
          <w:highlight w:val="none"/>
        </w:rPr>
      </w:pPr>
    </w:p>
    <w:p w14:paraId="29D12A58">
      <w:pPr>
        <w:pStyle w:val="322"/>
        <w:shd w:val="clear" w:color="auto" w:fill="auto"/>
        <w:ind w:firstLine="0"/>
        <w:rPr>
          <w:rFonts w:ascii="黑体" w:hAnsi="宋体" w:eastAsia="黑体"/>
          <w:color w:val="000000"/>
          <w:sz w:val="32"/>
          <w:highlight w:val="none"/>
        </w:rPr>
      </w:pPr>
    </w:p>
    <w:p w14:paraId="0BF50721">
      <w:pPr>
        <w:pStyle w:val="322"/>
        <w:shd w:val="clear" w:color="auto" w:fill="auto"/>
        <w:ind w:firstLine="0"/>
        <w:rPr>
          <w:rFonts w:ascii="黑体" w:hAnsi="宋体" w:eastAsia="黑体"/>
          <w:color w:val="000000"/>
          <w:sz w:val="32"/>
          <w:highlight w:val="none"/>
        </w:rPr>
      </w:pPr>
    </w:p>
    <w:p w14:paraId="0C8ED9D7">
      <w:pPr>
        <w:pStyle w:val="322"/>
        <w:shd w:val="clear" w:color="auto" w:fill="auto"/>
        <w:ind w:firstLine="0"/>
        <w:rPr>
          <w:rFonts w:ascii="黑体" w:hAnsi="宋体" w:eastAsia="黑体"/>
          <w:color w:val="000000"/>
          <w:sz w:val="32"/>
          <w:highlight w:val="none"/>
        </w:rPr>
      </w:pPr>
    </w:p>
    <w:p w14:paraId="26475A60">
      <w:pPr>
        <w:shd w:val="clear" w:color="auto" w:fill="auto"/>
        <w:rPr>
          <w:rFonts w:ascii="黑体" w:hAnsi="宋体" w:eastAsia="黑体"/>
          <w:color w:val="000000"/>
          <w:sz w:val="32"/>
          <w:szCs w:val="22"/>
          <w:highlight w:val="none"/>
        </w:rPr>
      </w:pPr>
    </w:p>
    <w:p w14:paraId="6AF1D0E3">
      <w:pPr>
        <w:shd w:val="clear" w:color="auto" w:fill="auto"/>
        <w:spacing w:line="480" w:lineRule="auto"/>
        <w:jc w:val="center"/>
        <w:rPr>
          <w:rFonts w:hint="eastAsia" w:ascii="宋体" w:hAnsi="宋体" w:eastAsia="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南京市江宁医院医学装备部</w:t>
      </w:r>
    </w:p>
    <w:p w14:paraId="73813E0C">
      <w:pPr>
        <w:shd w:val="clear" w:color="auto" w:fill="auto"/>
        <w:spacing w:line="480" w:lineRule="auto"/>
        <w:jc w:val="center"/>
        <w:rPr>
          <w:rFonts w:ascii="宋体" w:hAnsi="宋体" w:cs="宋体"/>
          <w:b/>
          <w:bCs/>
          <w:color w:val="000000"/>
          <w:sz w:val="28"/>
          <w:szCs w:val="28"/>
          <w:highlight w:val="none"/>
        </w:rPr>
      </w:pPr>
      <w:r>
        <w:rPr>
          <w:rFonts w:hint="eastAsia" w:ascii="宋体" w:hAnsi="宋体" w:cs="宋体"/>
          <w:b/>
          <w:bCs/>
          <w:color w:val="000000"/>
          <w:sz w:val="28"/>
          <w:szCs w:val="28"/>
          <w:highlight w:val="none"/>
        </w:rPr>
        <w:t>二〇二</w:t>
      </w:r>
      <w:r>
        <w:rPr>
          <w:rFonts w:hint="eastAsia" w:ascii="宋体" w:hAnsi="宋体" w:cs="宋体"/>
          <w:b/>
          <w:bCs/>
          <w:color w:val="000000"/>
          <w:sz w:val="28"/>
          <w:szCs w:val="28"/>
          <w:highlight w:val="none"/>
          <w:lang w:val="en-US" w:eastAsia="zh-CN"/>
        </w:rPr>
        <w:t>六</w:t>
      </w:r>
      <w:r>
        <w:rPr>
          <w:rFonts w:hint="eastAsia" w:ascii="宋体" w:hAnsi="宋体" w:cs="宋体"/>
          <w:b/>
          <w:bCs/>
          <w:color w:val="000000"/>
          <w:sz w:val="28"/>
          <w:szCs w:val="28"/>
          <w:highlight w:val="none"/>
        </w:rPr>
        <w:t>年</w:t>
      </w:r>
      <w:r>
        <w:rPr>
          <w:rFonts w:hint="eastAsia" w:ascii="宋体" w:hAnsi="宋体" w:cs="宋体"/>
          <w:b/>
          <w:bCs/>
          <w:color w:val="000000"/>
          <w:sz w:val="28"/>
          <w:szCs w:val="28"/>
          <w:highlight w:val="none"/>
          <w:lang w:eastAsia="zh-CN"/>
        </w:rPr>
        <w:t>十一</w:t>
      </w:r>
      <w:r>
        <w:rPr>
          <w:rFonts w:hint="eastAsia" w:ascii="宋体" w:hAnsi="宋体" w:cs="宋体"/>
          <w:b/>
          <w:bCs/>
          <w:color w:val="000000"/>
          <w:sz w:val="28"/>
          <w:szCs w:val="28"/>
          <w:highlight w:val="none"/>
        </w:rPr>
        <w:t>月</w:t>
      </w:r>
    </w:p>
    <w:p w14:paraId="50776E8D">
      <w:pPr>
        <w:shd w:val="clear" w:color="auto" w:fill="auto"/>
        <w:spacing w:line="360" w:lineRule="auto"/>
        <w:jc w:val="center"/>
        <w:rPr>
          <w:rFonts w:ascii="宋体" w:hAnsi="宋体" w:cs="宋体"/>
          <w:b/>
          <w:bCs/>
          <w:color w:val="000000"/>
          <w:sz w:val="36"/>
          <w:highlight w:val="none"/>
        </w:rPr>
      </w:pPr>
    </w:p>
    <w:p w14:paraId="569F48F7">
      <w:pPr>
        <w:shd w:val="clear" w:color="auto" w:fill="auto"/>
        <w:jc w:val="center"/>
        <w:rPr>
          <w:rFonts w:hint="eastAsia" w:ascii="宋体" w:hAnsi="宋体" w:cs="宋体"/>
          <w:b/>
          <w:bCs/>
          <w:color w:val="000000"/>
          <w:sz w:val="32"/>
          <w:highlight w:val="none"/>
        </w:rPr>
      </w:pPr>
      <w:r>
        <w:rPr>
          <w:rFonts w:hint="eastAsia" w:ascii="宋体" w:hAnsi="宋体" w:cs="宋体"/>
          <w:b/>
          <w:bCs/>
          <w:color w:val="000000"/>
          <w:sz w:val="32"/>
          <w:highlight w:val="none"/>
        </w:rPr>
        <w:br w:type="page" w:clear="all"/>
      </w:r>
      <w:r>
        <w:rPr>
          <w:rFonts w:hint="eastAsia" w:ascii="宋体" w:hAnsi="宋体" w:cs="宋体"/>
          <w:b/>
          <w:bCs/>
          <w:color w:val="000000"/>
          <w:sz w:val="32"/>
          <w:highlight w:val="none"/>
        </w:rPr>
        <w:t>目 录</w:t>
      </w:r>
    </w:p>
    <w:p w14:paraId="27D31BBC">
      <w:pPr>
        <w:shd w:val="clear" w:color="auto" w:fill="auto"/>
        <w:jc w:val="center"/>
        <w:rPr>
          <w:rFonts w:hint="eastAsia" w:ascii="宋体" w:hAnsi="宋体" w:cs="宋体"/>
          <w:b/>
          <w:bCs/>
          <w:color w:val="000000"/>
          <w:sz w:val="32"/>
          <w:highlight w:val="none"/>
        </w:rPr>
      </w:pPr>
    </w:p>
    <w:p w14:paraId="10DD19A2">
      <w:pPr>
        <w:shd w:val="clear" w:color="auto" w:fill="auto"/>
        <w:jc w:val="center"/>
        <w:rPr>
          <w:rFonts w:hint="eastAsia" w:ascii="宋体" w:hAnsi="宋体" w:cs="宋体"/>
          <w:b/>
          <w:bCs/>
          <w:color w:val="000000"/>
          <w:sz w:val="32"/>
          <w:highlight w:val="none"/>
        </w:rPr>
      </w:pPr>
    </w:p>
    <w:sdt>
      <w:sdtPr>
        <w:rPr>
          <w:rFonts w:hint="default" w:ascii="宋体" w:hAnsi="宋体" w:eastAsia="宋体" w:cs="Times New Roman"/>
          <w:sz w:val="21"/>
          <w:szCs w:val="22"/>
          <w:lang w:val="en-US" w:eastAsia="zh-CN" w:bidi="ar-SA"/>
        </w:rPr>
        <w:id w:val="147461225"/>
        <w15:color w:val="DBDBDB"/>
        <w:docPartObj>
          <w:docPartGallery w:val="Table of Contents"/>
          <w:docPartUnique/>
        </w:docPartObj>
      </w:sdtPr>
      <w:sdtEndPr>
        <w:rPr>
          <w:rFonts w:hint="default" w:ascii="Times New Roman" w:hAnsi="Times New Roman" w:eastAsia="宋体" w:cs="Times New Roman"/>
          <w:color w:val="000000"/>
          <w:sz w:val="21"/>
          <w:szCs w:val="22"/>
          <w:highlight w:val="none"/>
          <w:lang w:val="en-US" w:eastAsia="zh-CN" w:bidi="ar-SA"/>
        </w:rPr>
      </w:sdtEndPr>
      <w:sdtContent>
        <w:p w14:paraId="2B281892">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576C695A">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TOC \o "1-1" \h \u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_Toc27973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第一章 </w:t>
          </w:r>
          <w:r>
            <w:rPr>
              <w:rFonts w:hint="default" w:ascii="Times New Roman" w:hAnsi="Times New Roman" w:cs="Times New Roman"/>
              <w:b/>
              <w:bCs/>
              <w:color w:val="000000"/>
              <w:sz w:val="22"/>
              <w:szCs w:val="24"/>
              <w:highlight w:val="none"/>
              <w:lang w:eastAsia="zh-CN"/>
            </w:rPr>
            <w:t>院内磋商</w:t>
          </w:r>
          <w:r>
            <w:rPr>
              <w:rFonts w:hint="default" w:ascii="Times New Roman" w:hAnsi="Times New Roman" w:cs="Times New Roman"/>
              <w:b/>
              <w:bCs/>
              <w:color w:val="000000"/>
              <w:sz w:val="22"/>
              <w:szCs w:val="24"/>
              <w:highlight w:val="none"/>
            </w:rPr>
            <w:t>采购公告</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_Toc27973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0CF47B2F">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_Toc5702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第二章 </w:t>
          </w:r>
          <w:r>
            <w:rPr>
              <w:rFonts w:hint="default" w:ascii="Times New Roman" w:hAnsi="Times New Roman" w:cs="Times New Roman"/>
              <w:b/>
              <w:bCs/>
              <w:color w:val="000000"/>
              <w:sz w:val="22"/>
              <w:szCs w:val="24"/>
              <w:highlight w:val="none"/>
              <w:lang w:val="en-US" w:eastAsia="zh-CN"/>
            </w:rPr>
            <w:t>院内磋商</w:t>
          </w:r>
          <w:r>
            <w:rPr>
              <w:rFonts w:hint="default" w:ascii="Times New Roman" w:hAnsi="Times New Roman" w:cs="Times New Roman"/>
              <w:b/>
              <w:bCs/>
              <w:color w:val="000000"/>
              <w:sz w:val="22"/>
              <w:szCs w:val="24"/>
              <w:highlight w:val="none"/>
            </w:rPr>
            <w:t>须知</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_Toc5702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4</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54CA079">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_Toc26570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第三章 合同条款及格式</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_Toc26570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14</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12819F8B">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_Toc8341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第四章 项目需求</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_Toc8341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20</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BEFEFC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_Toc30045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第五章 评审方法及评审标准</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_Toc30045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50D6A91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_Toc9213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lang w:val="en-US" w:eastAsia="zh-CN"/>
            </w:rPr>
            <w:t xml:space="preserve">第六章 </w:t>
          </w:r>
          <w:r>
            <w:rPr>
              <w:rFonts w:hint="default" w:ascii="Times New Roman" w:hAnsi="Times New Roman" w:cs="Times New Roman"/>
              <w:b/>
              <w:bCs/>
              <w:color w:val="000000"/>
              <w:sz w:val="22"/>
              <w:szCs w:val="24"/>
              <w:highlight w:val="none"/>
            </w:rPr>
            <w:t>南京</w:t>
          </w:r>
          <w:r>
            <w:rPr>
              <w:rFonts w:hint="default" w:ascii="Times New Roman" w:hAnsi="Times New Roman" w:cs="Times New Roman"/>
              <w:b/>
              <w:bCs/>
              <w:color w:val="000000"/>
              <w:sz w:val="22"/>
              <w:szCs w:val="24"/>
              <w:highlight w:val="none"/>
              <w:lang w:eastAsia="zh-CN"/>
            </w:rPr>
            <w:t>市江宁</w:t>
          </w:r>
          <w:r>
            <w:rPr>
              <w:rFonts w:hint="default" w:ascii="Times New Roman" w:hAnsi="Times New Roman" w:cs="Times New Roman"/>
              <w:b/>
              <w:bCs/>
              <w:color w:val="000000"/>
              <w:sz w:val="22"/>
              <w:szCs w:val="24"/>
              <w:highlight w:val="none"/>
            </w:rPr>
            <w:t>医院</w:t>
          </w:r>
          <w:r>
            <w:rPr>
              <w:rFonts w:hint="default" w:ascii="Times New Roman" w:hAnsi="Times New Roman" w:cs="Times New Roman"/>
              <w:b/>
              <w:bCs/>
              <w:color w:val="000000"/>
              <w:sz w:val="22"/>
              <w:szCs w:val="24"/>
              <w:highlight w:val="none"/>
              <w:lang w:val="en-US" w:eastAsia="zh-CN"/>
            </w:rPr>
            <w:t>院内磋商响应文件目录</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_Toc9213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26</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72843BE7">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_Toc20964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第七</w:t>
          </w:r>
          <w:r>
            <w:rPr>
              <w:rFonts w:hint="default" w:ascii="Times New Roman" w:hAnsi="Times New Roman" w:cs="Times New Roman"/>
              <w:b/>
              <w:bCs/>
              <w:color w:val="000000"/>
              <w:sz w:val="22"/>
              <w:szCs w:val="24"/>
              <w:highlight w:val="none"/>
              <w:lang w:val="en-US" w:eastAsia="zh-CN"/>
            </w:rPr>
            <w:t xml:space="preserve">章 </w:t>
          </w:r>
          <w:r>
            <w:rPr>
              <w:rFonts w:hint="default" w:ascii="Times New Roman" w:hAnsi="Times New Roman" w:cs="Times New Roman"/>
              <w:b/>
              <w:bCs/>
              <w:color w:val="000000"/>
              <w:sz w:val="22"/>
              <w:szCs w:val="24"/>
              <w:highlight w:val="none"/>
            </w:rPr>
            <w:t>特别提醒</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_Toc20964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64</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48B968E1">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sz w:val="21"/>
              <w:szCs w:val="22"/>
              <w:highlight w:val="none"/>
              <w:lang w:val="en-US" w:eastAsia="zh-CN" w:bidi="ar-SA"/>
            </w:rPr>
          </w:pPr>
          <w:r>
            <w:rPr>
              <w:rFonts w:hint="default" w:ascii="Times New Roman" w:hAnsi="Times New Roman" w:cs="Times New Roman"/>
              <w:b/>
              <w:bCs/>
              <w:color w:val="000000"/>
              <w:sz w:val="22"/>
              <w:szCs w:val="24"/>
              <w:highlight w:val="none"/>
            </w:rPr>
            <w:fldChar w:fldCharType="end"/>
          </w:r>
        </w:p>
      </w:sdtContent>
    </w:sdt>
    <w:p w14:paraId="34A81D2A">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29799F70">
      <w:pPr>
        <w:shd w:val="clear" w:color="auto" w:fill="auto"/>
        <w:spacing w:line="360" w:lineRule="auto"/>
        <w:rPr>
          <w:rFonts w:ascii="宋体" w:hAnsi="宋体" w:cs="宋体"/>
          <w:color w:val="000000"/>
          <w:highlight w:val="none"/>
        </w:rPr>
      </w:pPr>
    </w:p>
    <w:p w14:paraId="77045CB3">
      <w:pPr>
        <w:pStyle w:val="2"/>
        <w:bidi w:val="0"/>
        <w:rPr>
          <w:rFonts w:hint="eastAsia"/>
        </w:rPr>
        <w:sectPr>
          <w:headerReference r:id="rId3" w:type="default"/>
          <w:pgSz w:w="11906" w:h="16838"/>
          <w:pgMar w:top="1440" w:right="1800" w:bottom="1440" w:left="1800" w:header="851" w:footer="992" w:gutter="0"/>
          <w:cols w:space="1701" w:num="1"/>
          <w:docGrid w:linePitch="360" w:charSpace="0"/>
        </w:sectPr>
      </w:pPr>
      <w:bookmarkStart w:id="2" w:name="_Toc109304962"/>
    </w:p>
    <w:p w14:paraId="047A891D">
      <w:pPr>
        <w:pStyle w:val="2"/>
        <w:keepNext/>
        <w:keepLines/>
        <w:pageBreakBefore w:val="0"/>
        <w:widowControl w:val="0"/>
        <w:kinsoku/>
        <w:wordWrap/>
        <w:overflowPunct/>
        <w:topLinePunct w:val="0"/>
        <w:autoSpaceDE/>
        <w:autoSpaceDN/>
        <w:bidi w:val="0"/>
        <w:adjustRightInd/>
        <w:snapToGrid/>
        <w:spacing w:before="0"/>
        <w:textAlignment w:val="auto"/>
        <w:rPr>
          <w:rFonts w:hint="eastAsia"/>
        </w:rPr>
      </w:pPr>
      <w:bookmarkStart w:id="3" w:name="_Toc27973"/>
      <w:r>
        <w:rPr>
          <w:rFonts w:hint="eastAsia"/>
        </w:rPr>
        <w:t xml:space="preserve">第一章 </w:t>
      </w:r>
      <w:r>
        <w:rPr>
          <w:rFonts w:hint="eastAsia"/>
          <w:lang w:eastAsia="zh-CN"/>
        </w:rPr>
        <w:t>院内磋商</w:t>
      </w:r>
      <w:r>
        <w:rPr>
          <w:rFonts w:hint="eastAsia"/>
        </w:rPr>
        <w:t>采购公告</w:t>
      </w:r>
      <w:bookmarkEnd w:id="2"/>
      <w:bookmarkEnd w:id="3"/>
    </w:p>
    <w:p w14:paraId="7E041866">
      <w:pPr>
        <w:pBdr>
          <w:top w:val="single" w:color="000000" w:sz="4" w:space="1"/>
          <w:left w:val="single" w:color="000000" w:sz="4" w:space="4"/>
          <w:bottom w:val="single" w:color="000000" w:sz="4" w:space="1"/>
          <w:right w:val="single" w:color="000000" w:sz="4" w:space="4"/>
        </w:pBdr>
        <w:shd w:val="clear" w:color="auto" w:fill="auto"/>
        <w:spacing w:line="240" w:lineRule="auto"/>
        <w:ind w:firstLine="422"/>
        <w:rPr>
          <w:rFonts w:ascii="宋体" w:hAnsi="宋体" w:cs="宋体"/>
          <w:b/>
          <w:color w:val="000000"/>
          <w:sz w:val="24"/>
          <w:szCs w:val="24"/>
          <w:highlight w:val="none"/>
        </w:rPr>
      </w:pPr>
      <w:r>
        <w:rPr>
          <w:rFonts w:hint="eastAsia" w:ascii="宋体" w:hAnsi="宋体" w:cs="宋体"/>
          <w:b/>
          <w:color w:val="000000"/>
          <w:sz w:val="24"/>
          <w:szCs w:val="24"/>
          <w:highlight w:val="none"/>
        </w:rPr>
        <w:t>项目概况</w:t>
      </w:r>
    </w:p>
    <w:p w14:paraId="176069B0">
      <w:pPr>
        <w:pBdr>
          <w:top w:val="single" w:color="000000" w:sz="4" w:space="1"/>
          <w:left w:val="single" w:color="000000" w:sz="4" w:space="4"/>
          <w:bottom w:val="single" w:color="000000" w:sz="4" w:space="1"/>
          <w:right w:val="single" w:color="000000" w:sz="4" w:space="4"/>
        </w:pBdr>
        <w:shd w:val="clear" w:color="auto" w:fill="auto"/>
        <w:spacing w:line="240" w:lineRule="auto"/>
        <w:ind w:firstLine="420"/>
        <w:rPr>
          <w:rFonts w:ascii="宋体" w:hAnsi="宋体" w:cs="宋体"/>
          <w:color w:val="auto"/>
          <w:sz w:val="24"/>
          <w:szCs w:val="24"/>
          <w:highlight w:val="none"/>
        </w:rPr>
      </w:pPr>
      <w:r>
        <w:rPr>
          <w:rFonts w:hint="eastAsia" w:ascii="宋体" w:hAnsi="宋体" w:cs="宋体"/>
          <w:color w:val="auto"/>
          <w:sz w:val="24"/>
          <w:szCs w:val="24"/>
          <w:highlight w:val="none"/>
          <w:u w:val="single"/>
          <w:lang w:val="en-US" w:eastAsia="zh-CN"/>
        </w:rPr>
        <w:t>输血科全自动血小板功能分析仪、全自动医用血液冷藏系统</w:t>
      </w:r>
      <w:r>
        <w:rPr>
          <w:rFonts w:hint="eastAsia" w:ascii="宋体" w:hAnsi="宋体" w:cs="宋体"/>
          <w:color w:val="auto"/>
          <w:sz w:val="24"/>
          <w:szCs w:val="24"/>
          <w:highlight w:val="none"/>
          <w:u w:val="none"/>
          <w:lang w:val="zh-CN"/>
        </w:rPr>
        <w:t>项目</w:t>
      </w:r>
      <w:r>
        <w:rPr>
          <w:rFonts w:hint="eastAsia" w:ascii="宋体" w:hAnsi="宋体" w:cs="宋体"/>
          <w:color w:val="auto"/>
          <w:sz w:val="24"/>
          <w:szCs w:val="24"/>
          <w:highlight w:val="none"/>
        </w:rPr>
        <w:t>的潜在供应商可在</w:t>
      </w:r>
      <w:r>
        <w:rPr>
          <w:rFonts w:hint="eastAsia" w:ascii="宋体" w:hAnsi="宋体" w:cs="宋体"/>
          <w:color w:val="auto"/>
          <w:sz w:val="24"/>
          <w:szCs w:val="24"/>
          <w:highlight w:val="none"/>
          <w:lang w:eastAsia="zh-CN"/>
        </w:rPr>
        <w:t>南京市江宁医院官网</w:t>
      </w:r>
      <w:r>
        <w:rPr>
          <w:rFonts w:hint="eastAsia" w:ascii="宋体" w:hAnsi="宋体" w:cs="宋体"/>
          <w:color w:val="auto"/>
          <w:sz w:val="24"/>
          <w:szCs w:val="24"/>
          <w:highlight w:val="none"/>
        </w:rPr>
        <w:t>下载采购文件，</w:t>
      </w:r>
      <w:r>
        <w:rPr>
          <w:rFonts w:hint="eastAsia" w:ascii="宋体" w:hAnsi="宋体" w:eastAsia="宋体" w:cs="宋体"/>
          <w:color w:val="auto"/>
          <w:sz w:val="24"/>
          <w:szCs w:val="24"/>
          <w:highlight w:val="none"/>
        </w:rPr>
        <w:t>并于</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日1</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点</w:t>
      </w:r>
      <w:r>
        <w:rPr>
          <w:rFonts w:hint="eastAsia" w:ascii="宋体" w:hAnsi="宋体" w:cs="宋体"/>
          <w:color w:val="auto"/>
          <w:sz w:val="24"/>
          <w:szCs w:val="24"/>
          <w:highlight w:val="none"/>
          <w:u w:val="single"/>
          <w:lang w:val="en-US" w:eastAsia="zh-CN"/>
        </w:rPr>
        <w:t>15</w:t>
      </w:r>
      <w:r>
        <w:rPr>
          <w:rFonts w:hint="eastAsia" w:ascii="宋体" w:hAnsi="宋体" w:eastAsia="宋体" w:cs="宋体"/>
          <w:color w:val="auto"/>
          <w:sz w:val="24"/>
          <w:szCs w:val="24"/>
          <w:highlight w:val="none"/>
          <w:u w:val="single"/>
        </w:rPr>
        <w:t>分</w:t>
      </w:r>
      <w:r>
        <w:rPr>
          <w:rFonts w:hint="eastAsia" w:ascii="宋体" w:hAnsi="宋体" w:eastAsia="宋体" w:cs="宋体"/>
          <w:color w:val="auto"/>
          <w:sz w:val="24"/>
          <w:szCs w:val="24"/>
          <w:highlight w:val="none"/>
        </w:rPr>
        <w:t>（北京时间）</w:t>
      </w:r>
      <w:r>
        <w:rPr>
          <w:rFonts w:hint="eastAsia" w:ascii="宋体" w:hAnsi="宋体" w:cs="宋体"/>
          <w:color w:val="auto"/>
          <w:sz w:val="24"/>
          <w:szCs w:val="24"/>
          <w:highlight w:val="none"/>
          <w:lang w:eastAsia="zh-CN"/>
        </w:rPr>
        <w:t>现场</w:t>
      </w:r>
      <w:r>
        <w:rPr>
          <w:rFonts w:hint="eastAsia" w:ascii="宋体" w:hAnsi="宋体" w:eastAsia="宋体" w:cs="宋体"/>
          <w:color w:val="auto"/>
          <w:sz w:val="24"/>
          <w:szCs w:val="24"/>
          <w:highlight w:val="none"/>
        </w:rPr>
        <w:t>提交响应文件。</w:t>
      </w:r>
    </w:p>
    <w:p w14:paraId="1DD3907E">
      <w:pPr>
        <w:pStyle w:val="290"/>
        <w:shd w:val="clear" w:color="auto" w:fill="auto"/>
        <w:spacing w:before="0" w:after="0" w:line="360" w:lineRule="auto"/>
        <w:ind w:firstLine="422"/>
        <w:rPr>
          <w:rFonts w:ascii="宋体" w:hAnsi="宋体" w:cs="宋体"/>
          <w:bCs w:val="0"/>
          <w:color w:val="auto"/>
          <w:sz w:val="24"/>
          <w:szCs w:val="24"/>
          <w:highlight w:val="none"/>
        </w:rPr>
      </w:pPr>
      <w:bookmarkStart w:id="4" w:name="_Toc109304963"/>
      <w:r>
        <w:rPr>
          <w:rFonts w:hint="eastAsia" w:ascii="宋体" w:hAnsi="宋体" w:cs="宋体"/>
          <w:bCs w:val="0"/>
          <w:color w:val="auto"/>
          <w:sz w:val="24"/>
          <w:szCs w:val="24"/>
          <w:highlight w:val="none"/>
        </w:rPr>
        <w:t>一、项目基本情况</w:t>
      </w:r>
      <w:bookmarkEnd w:id="4"/>
    </w:p>
    <w:p w14:paraId="3D2266A8">
      <w:pPr>
        <w:shd w:val="clear" w:color="auto" w:fill="auto"/>
        <w:spacing w:line="360" w:lineRule="auto"/>
        <w:ind w:firstLine="42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1.项目编号</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JNYYYXZBBSBZC-2026-1004（二次）</w:t>
      </w:r>
    </w:p>
    <w:p w14:paraId="681ECB80">
      <w:pPr>
        <w:shd w:val="clear" w:color="auto" w:fill="auto"/>
        <w:spacing w:line="360" w:lineRule="auto"/>
        <w:ind w:firstLine="42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u w:val="none"/>
          <w:lang w:val="en-US" w:eastAsia="zh-CN"/>
        </w:rPr>
        <w:t>全自动血小板功能分析仪、全自动医用血液冷藏系统</w:t>
      </w:r>
    </w:p>
    <w:p w14:paraId="734EC780">
      <w:pPr>
        <w:shd w:val="clear" w:color="auto" w:fill="auto"/>
        <w:spacing w:line="360" w:lineRule="auto"/>
        <w:ind w:firstLine="42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3.采购方式：</w:t>
      </w:r>
      <w:r>
        <w:rPr>
          <w:rFonts w:hint="eastAsia" w:ascii="宋体" w:hAnsi="宋体" w:cs="宋体"/>
          <w:color w:val="auto"/>
          <w:sz w:val="24"/>
          <w:szCs w:val="24"/>
          <w:highlight w:val="none"/>
          <w:lang w:eastAsia="zh-CN"/>
        </w:rPr>
        <w:t>院内磋商</w:t>
      </w:r>
    </w:p>
    <w:p w14:paraId="084B85EC">
      <w:pPr>
        <w:shd w:val="clear" w:color="auto" w:fill="auto"/>
        <w:spacing w:line="360" w:lineRule="auto"/>
        <w:ind w:firstLine="420"/>
        <w:rPr>
          <w:rFonts w:hint="default" w:ascii="宋体" w:hAnsi="宋体" w:cs="宋体"/>
          <w:color w:val="auto"/>
          <w:sz w:val="24"/>
          <w:szCs w:val="24"/>
          <w:highlight w:val="none"/>
          <w:u w:val="none"/>
          <w:lang w:val="en-US" w:eastAsia="zh-CN"/>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val="zh-CN"/>
        </w:rPr>
        <w:t>预算金额：采购</w:t>
      </w:r>
      <w:r>
        <w:rPr>
          <w:rFonts w:hint="eastAsia" w:ascii="宋体" w:hAnsi="宋体" w:cs="宋体"/>
          <w:color w:val="auto"/>
          <w:sz w:val="24"/>
          <w:szCs w:val="24"/>
          <w:highlight w:val="none"/>
          <w:u w:val="none"/>
          <w:lang w:val="en-US" w:eastAsia="zh-CN"/>
        </w:rPr>
        <w:t>包1：0.2万元</w:t>
      </w:r>
    </w:p>
    <w:p w14:paraId="1A4F51D1">
      <w:pPr>
        <w:shd w:val="clear" w:color="auto" w:fill="auto"/>
        <w:spacing w:line="360" w:lineRule="auto"/>
        <w:ind w:firstLine="1920" w:firstLineChars="8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zh-CN"/>
        </w:rPr>
        <w:t>采购</w:t>
      </w:r>
      <w:r>
        <w:rPr>
          <w:rFonts w:hint="eastAsia" w:ascii="宋体" w:hAnsi="宋体" w:cs="宋体"/>
          <w:color w:val="auto"/>
          <w:sz w:val="24"/>
          <w:szCs w:val="24"/>
          <w:highlight w:val="none"/>
          <w:u w:val="none"/>
          <w:lang w:val="en-US" w:eastAsia="zh-CN"/>
        </w:rPr>
        <w:t>包2：20万元</w:t>
      </w:r>
    </w:p>
    <w:p w14:paraId="13E9B39C">
      <w:pPr>
        <w:numPr>
          <w:ilvl w:val="0"/>
          <w:numId w:val="3"/>
        </w:numPr>
        <w:shd w:val="clear" w:color="auto" w:fill="auto"/>
        <w:spacing w:line="360" w:lineRule="auto"/>
        <w:ind w:firstLine="420"/>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最高限价：</w:t>
      </w:r>
    </w:p>
    <w:tbl>
      <w:tblPr>
        <w:tblStyle w:val="35"/>
        <w:tblW w:w="8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4"/>
        <w:gridCol w:w="2304"/>
        <w:gridCol w:w="2106"/>
        <w:gridCol w:w="2170"/>
        <w:gridCol w:w="1130"/>
      </w:tblGrid>
      <w:tr w14:paraId="5E0D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55C12C9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包号</w:t>
            </w:r>
          </w:p>
        </w:tc>
        <w:tc>
          <w:tcPr>
            <w:tcW w:w="2304" w:type="dxa"/>
            <w:noWrap w:val="0"/>
            <w:vAlign w:val="center"/>
          </w:tcPr>
          <w:p w14:paraId="7F468606">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设备名称</w:t>
            </w:r>
          </w:p>
        </w:tc>
        <w:tc>
          <w:tcPr>
            <w:tcW w:w="2106" w:type="dxa"/>
            <w:noWrap w:val="0"/>
            <w:vAlign w:val="center"/>
          </w:tcPr>
          <w:p w14:paraId="390D4EE3">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需求数量（台）</w:t>
            </w:r>
          </w:p>
        </w:tc>
        <w:tc>
          <w:tcPr>
            <w:tcW w:w="2170" w:type="dxa"/>
            <w:noWrap w:val="0"/>
            <w:vAlign w:val="center"/>
          </w:tcPr>
          <w:p w14:paraId="7D6D34E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限价（万）</w:t>
            </w:r>
          </w:p>
        </w:tc>
        <w:tc>
          <w:tcPr>
            <w:tcW w:w="1130" w:type="dxa"/>
            <w:noWrap w:val="0"/>
            <w:vAlign w:val="center"/>
          </w:tcPr>
          <w:p w14:paraId="67A3E6E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备注</w:t>
            </w:r>
          </w:p>
        </w:tc>
      </w:tr>
      <w:tr w14:paraId="64C1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2B17395B">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304" w:type="dxa"/>
            <w:noWrap w:val="0"/>
            <w:vAlign w:val="center"/>
          </w:tcPr>
          <w:p w14:paraId="745A6CD1">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ascii="Times New Roman" w:hAnsi="Times New Roman" w:eastAsia="方正仿宋简体" w:cs="Times New Roman"/>
                <w:color w:val="auto"/>
                <w:kern w:val="2"/>
                <w:sz w:val="24"/>
                <w:szCs w:val="24"/>
                <w:highlight w:val="none"/>
                <w:vertAlign w:val="baseline"/>
                <w:lang w:val="en-US" w:eastAsia="zh-CN"/>
              </w:rPr>
              <w:t>全自动血小板功能分析仪</w:t>
            </w:r>
          </w:p>
        </w:tc>
        <w:tc>
          <w:tcPr>
            <w:tcW w:w="2106" w:type="dxa"/>
            <w:noWrap w:val="0"/>
            <w:vAlign w:val="center"/>
          </w:tcPr>
          <w:p w14:paraId="244BBF2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170" w:type="dxa"/>
            <w:noWrap w:val="0"/>
            <w:vAlign w:val="center"/>
          </w:tcPr>
          <w:p w14:paraId="500793E7">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0.2</w:t>
            </w:r>
          </w:p>
        </w:tc>
        <w:tc>
          <w:tcPr>
            <w:tcW w:w="1130" w:type="dxa"/>
            <w:noWrap w:val="0"/>
            <w:vAlign w:val="center"/>
          </w:tcPr>
          <w:p w14:paraId="4E233D7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r w14:paraId="1FE8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2FBADC2E">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w:t>
            </w:r>
          </w:p>
        </w:tc>
        <w:tc>
          <w:tcPr>
            <w:tcW w:w="2304" w:type="dxa"/>
            <w:noWrap w:val="0"/>
            <w:vAlign w:val="center"/>
          </w:tcPr>
          <w:p w14:paraId="1A3689A9">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方正仿宋简体" w:cs="Times New Roman"/>
                <w:color w:val="auto"/>
                <w:kern w:val="2"/>
                <w:sz w:val="24"/>
                <w:szCs w:val="24"/>
                <w:highlight w:val="none"/>
                <w:vertAlign w:val="baseline"/>
                <w:lang w:val="en-US" w:eastAsia="zh-CN"/>
              </w:rPr>
            </w:pPr>
            <w:r>
              <w:rPr>
                <w:rFonts w:hint="eastAsia" w:ascii="Times New Roman" w:hAnsi="Times New Roman" w:eastAsia="方正仿宋简体" w:cs="Times New Roman"/>
                <w:color w:val="auto"/>
                <w:kern w:val="2"/>
                <w:sz w:val="24"/>
                <w:szCs w:val="24"/>
                <w:highlight w:val="none"/>
                <w:vertAlign w:val="baseline"/>
                <w:lang w:val="en-US" w:eastAsia="zh-CN"/>
              </w:rPr>
              <w:t>全自动医用血液冷藏系统</w:t>
            </w:r>
          </w:p>
        </w:tc>
        <w:tc>
          <w:tcPr>
            <w:tcW w:w="2106" w:type="dxa"/>
            <w:noWrap w:val="0"/>
            <w:vAlign w:val="center"/>
          </w:tcPr>
          <w:p w14:paraId="5CAEE173">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170" w:type="dxa"/>
            <w:noWrap w:val="0"/>
            <w:vAlign w:val="center"/>
          </w:tcPr>
          <w:p w14:paraId="76401C3D">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20</w:t>
            </w:r>
          </w:p>
        </w:tc>
        <w:tc>
          <w:tcPr>
            <w:tcW w:w="1130" w:type="dxa"/>
            <w:noWrap w:val="0"/>
            <w:vAlign w:val="center"/>
          </w:tcPr>
          <w:p w14:paraId="7EFB86EA">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bl>
    <w:p w14:paraId="796DCDE7">
      <w:pPr>
        <w:numPr>
          <w:ilvl w:val="0"/>
          <w:numId w:val="0"/>
        </w:numPr>
        <w:shd w:val="clear" w:color="auto" w:fill="auto"/>
        <w:spacing w:line="360" w:lineRule="auto"/>
        <w:rPr>
          <w:rFonts w:hint="eastAsia" w:ascii="宋体" w:hAnsi="宋体" w:cs="宋体"/>
          <w:color w:val="000000"/>
          <w:sz w:val="24"/>
          <w:szCs w:val="24"/>
          <w:highlight w:val="none"/>
          <w:lang w:val="zh-CN"/>
        </w:rPr>
      </w:pPr>
      <w:r>
        <w:rPr>
          <w:rFonts w:hint="eastAsia" w:ascii="宋体" w:hAnsi="宋体" w:eastAsia="宋体" w:cs="宋体"/>
          <w:b/>
          <w:bCs/>
          <w:color w:val="000000"/>
          <w:sz w:val="24"/>
          <w:szCs w:val="24"/>
          <w:highlight w:val="none"/>
          <w:lang w:val="en-US" w:eastAsia="zh-CN"/>
        </w:rPr>
        <w:t>超过最高限价的投标报价将会被作为无效</w:t>
      </w:r>
      <w:r>
        <w:rPr>
          <w:rFonts w:hint="eastAsia" w:ascii="宋体" w:hAnsi="宋体" w:cs="宋体"/>
          <w:b/>
          <w:bCs/>
          <w:color w:val="000000"/>
          <w:sz w:val="24"/>
          <w:szCs w:val="24"/>
          <w:highlight w:val="none"/>
          <w:lang w:val="en-US" w:eastAsia="zh-CN"/>
        </w:rPr>
        <w:t>响应文件</w:t>
      </w:r>
      <w:r>
        <w:rPr>
          <w:rFonts w:hint="eastAsia" w:ascii="宋体" w:hAnsi="宋体" w:eastAsia="宋体" w:cs="宋体"/>
          <w:b/>
          <w:bCs/>
          <w:color w:val="000000"/>
          <w:sz w:val="24"/>
          <w:szCs w:val="24"/>
          <w:highlight w:val="none"/>
          <w:lang w:val="en-US" w:eastAsia="zh-CN"/>
        </w:rPr>
        <w:t>处理</w:t>
      </w:r>
    </w:p>
    <w:p w14:paraId="6B2654A9">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6.采购需求：</w:t>
      </w:r>
      <w:r>
        <w:rPr>
          <w:rFonts w:hint="eastAsia" w:ascii="宋体" w:hAnsi="宋体" w:cs="宋体"/>
          <w:color w:val="000000"/>
          <w:sz w:val="24"/>
          <w:szCs w:val="24"/>
          <w:highlight w:val="none"/>
          <w:lang w:val="en-US" w:eastAsia="zh-CN"/>
        </w:rPr>
        <w:t>详见院内磋商文件。</w:t>
      </w:r>
    </w:p>
    <w:p w14:paraId="35F76704">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7.合同履行期限：</w:t>
      </w:r>
      <w:r>
        <w:rPr>
          <w:rFonts w:hint="eastAsia" w:ascii="宋体" w:hAnsi="宋体" w:cs="宋体"/>
          <w:color w:val="000000"/>
          <w:sz w:val="24"/>
          <w:szCs w:val="24"/>
          <w:highlight w:val="none"/>
          <w:lang w:val="en-US" w:eastAsia="zh-CN"/>
        </w:rPr>
        <w:t>详见院内磋商文件。</w:t>
      </w:r>
    </w:p>
    <w:p w14:paraId="2F973F98">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8.本项目不接收联合体响应。</w:t>
      </w:r>
    </w:p>
    <w:p w14:paraId="5143551C">
      <w:pPr>
        <w:pStyle w:val="290"/>
        <w:shd w:val="clear" w:color="auto" w:fill="auto"/>
        <w:spacing w:before="0" w:after="0" w:line="360" w:lineRule="auto"/>
        <w:ind w:firstLine="422"/>
        <w:rPr>
          <w:rFonts w:ascii="宋体" w:hAnsi="宋体" w:cs="宋体"/>
          <w:bCs w:val="0"/>
          <w:color w:val="000000"/>
          <w:sz w:val="24"/>
          <w:szCs w:val="24"/>
          <w:highlight w:val="none"/>
        </w:rPr>
      </w:pPr>
      <w:bookmarkStart w:id="5" w:name="_Toc109304964"/>
      <w:r>
        <w:rPr>
          <w:rFonts w:hint="eastAsia" w:ascii="宋体" w:hAnsi="宋体" w:cs="宋体"/>
          <w:bCs w:val="0"/>
          <w:color w:val="000000"/>
          <w:sz w:val="24"/>
          <w:szCs w:val="24"/>
          <w:highlight w:val="none"/>
        </w:rPr>
        <w:t>二、申请人的资格要求：</w:t>
      </w:r>
      <w:bookmarkEnd w:id="5"/>
    </w:p>
    <w:p w14:paraId="50B564FC">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（一）满足《中华人民共和国政府采购法》第二十二条规定：</w:t>
      </w:r>
    </w:p>
    <w:p w14:paraId="65CC12A2">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(1）具有独立承担民事责任的能力</w:t>
      </w:r>
      <w:r>
        <w:rPr>
          <w:rFonts w:hint="eastAsia" w:ascii="宋体" w:hAnsi="宋体" w:eastAsia="宋体" w:cs="宋体"/>
          <w:b/>
          <w:bCs/>
          <w:color w:val="000000"/>
          <w:sz w:val="24"/>
          <w:szCs w:val="24"/>
          <w:highlight w:val="none"/>
        </w:rPr>
        <w:t>（提供法人或者其他组织的营业执照等证明文件）</w:t>
      </w:r>
      <w:r>
        <w:rPr>
          <w:rFonts w:hint="eastAsia" w:ascii="宋体" w:hAnsi="宋体" w:eastAsia="宋体" w:cs="宋体"/>
          <w:color w:val="000000"/>
          <w:sz w:val="24"/>
          <w:szCs w:val="24"/>
          <w:highlight w:val="none"/>
        </w:rPr>
        <w:t>；</w:t>
      </w:r>
    </w:p>
    <w:p w14:paraId="00059274">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(2）具有良好的商业信誉和健全的财务会计制度</w:t>
      </w:r>
      <w:r>
        <w:rPr>
          <w:rFonts w:hint="eastAsia" w:ascii="宋体" w:hAnsi="宋体" w:eastAsia="宋体" w:cs="宋体"/>
          <w:b/>
          <w:bCs/>
          <w:color w:val="000000"/>
          <w:sz w:val="24"/>
          <w:szCs w:val="24"/>
          <w:highlight w:val="none"/>
        </w:rPr>
        <w:t>（提供202</w:t>
      </w:r>
      <w:r>
        <w:rPr>
          <w:rFonts w:hint="eastAsia" w:ascii="宋体" w:hAnsi="宋体" w:eastAsia="宋体" w:cs="宋体"/>
          <w:b/>
          <w:bCs/>
          <w:color w:val="000000"/>
          <w:sz w:val="24"/>
          <w:szCs w:val="24"/>
          <w:highlight w:val="none"/>
          <w:lang w:val="en-US" w:eastAsia="zh-CN"/>
        </w:rPr>
        <w:t>4</w:t>
      </w:r>
      <w:r>
        <w:rPr>
          <w:rFonts w:hint="eastAsia" w:ascii="宋体" w:hAnsi="宋体" w:eastAsia="宋体" w:cs="宋体"/>
          <w:b/>
          <w:bCs/>
          <w:color w:val="000000"/>
          <w:sz w:val="24"/>
          <w:szCs w:val="24"/>
          <w:highlight w:val="none"/>
        </w:rPr>
        <w:t>年度</w:t>
      </w:r>
      <w:r>
        <w:rPr>
          <w:rFonts w:hint="eastAsia" w:ascii="宋体" w:hAnsi="宋体" w:eastAsia="宋体" w:cs="宋体"/>
          <w:b/>
          <w:bCs/>
          <w:color w:val="000000"/>
          <w:sz w:val="24"/>
          <w:szCs w:val="24"/>
          <w:highlight w:val="none"/>
          <w:lang w:val="en-US" w:eastAsia="zh-CN"/>
        </w:rPr>
        <w:t>或2025年度</w:t>
      </w:r>
      <w:r>
        <w:rPr>
          <w:rFonts w:hint="eastAsia" w:ascii="宋体" w:hAnsi="宋体" w:eastAsia="宋体" w:cs="宋体"/>
          <w:b/>
          <w:bCs/>
          <w:color w:val="000000"/>
          <w:sz w:val="24"/>
          <w:szCs w:val="24"/>
          <w:highlight w:val="none"/>
        </w:rPr>
        <w:t>财务报告，至少包含资产负债表、利润表，或投标截止时间前六个月内银行出具的资信证明；成立不满一年的无须提供）；</w:t>
      </w:r>
    </w:p>
    <w:p w14:paraId="3C942E7B">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(3）具有履行合同所必需的设备和专业技术能力</w:t>
      </w:r>
      <w:r>
        <w:rPr>
          <w:rFonts w:hint="eastAsia" w:ascii="宋体" w:hAnsi="宋体" w:eastAsia="宋体" w:cs="宋体"/>
          <w:b/>
          <w:bCs/>
          <w:color w:val="000000"/>
          <w:sz w:val="24"/>
          <w:szCs w:val="24"/>
          <w:highlight w:val="none"/>
        </w:rPr>
        <w:t>（提供履行合同所必需的设备和专业技术能力的声明函或证明材料）；</w:t>
      </w:r>
    </w:p>
    <w:p w14:paraId="0DAF9F60">
      <w:pPr>
        <w:spacing w:line="329" w:lineRule="auto"/>
        <w:ind w:firstLine="480" w:firstLineChars="20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(4）有依法缴纳税收和社会保障资金的良好记录</w:t>
      </w:r>
      <w:r>
        <w:rPr>
          <w:rFonts w:hint="eastAsia" w:ascii="宋体" w:hAnsi="宋体" w:eastAsia="宋体" w:cs="宋体"/>
          <w:b/>
          <w:bCs/>
          <w:color w:val="000000"/>
          <w:sz w:val="24"/>
          <w:szCs w:val="24"/>
          <w:highlight w:val="none"/>
        </w:rPr>
        <w:t>（提供参加本次招标活动前六个月内（至少一个月）依法缴纳税收和社会保障资金的相关材料（依法缴纳税收的增值税或营业税或企业所得税的凭据，以及缴纳社会保险的专用收据或社会保险缴纳清单；根据国家相关政策免缴或迟缴的需提供相关证明材料））；</w:t>
      </w:r>
    </w:p>
    <w:p w14:paraId="41DBFE19">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w:t>
      </w:r>
      <w:r>
        <w:rPr>
          <w:rFonts w:hint="eastAsia" w:ascii="宋体" w:hAnsi="宋体" w:eastAsia="宋体" w:cs="宋体"/>
          <w:b/>
          <w:bCs/>
          <w:color w:val="000000"/>
          <w:sz w:val="24"/>
          <w:szCs w:val="24"/>
          <w:highlight w:val="none"/>
        </w:rPr>
        <w:t>（提供</w:t>
      </w:r>
      <w:r>
        <w:rPr>
          <w:rFonts w:hint="eastAsia" w:ascii="宋体" w:hAnsi="宋体" w:eastAsia="宋体" w:cs="宋体"/>
          <w:b/>
          <w:bCs/>
          <w:color w:val="000000"/>
          <w:sz w:val="24"/>
          <w:szCs w:val="24"/>
          <w:highlight w:val="none"/>
          <w:lang w:eastAsia="zh-CN"/>
        </w:rPr>
        <w:t>加盖供应商公章的</w:t>
      </w:r>
      <w:r>
        <w:rPr>
          <w:rFonts w:hint="eastAsia" w:ascii="宋体" w:hAnsi="宋体" w:eastAsia="宋体" w:cs="宋体"/>
          <w:b/>
          <w:bCs/>
          <w:color w:val="000000"/>
          <w:sz w:val="24"/>
          <w:szCs w:val="24"/>
          <w:highlight w:val="none"/>
        </w:rPr>
        <w:t>承诺书）；</w:t>
      </w:r>
    </w:p>
    <w:p w14:paraId="2F6C2AE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(6）法律、行政法规规定的其他条件</w:t>
      </w:r>
      <w:r>
        <w:rPr>
          <w:rFonts w:hint="eastAsia" w:ascii="宋体" w:hAnsi="宋体" w:eastAsia="宋体" w:cs="宋体"/>
          <w:b/>
          <w:bCs/>
          <w:color w:val="000000"/>
          <w:sz w:val="24"/>
          <w:szCs w:val="24"/>
          <w:highlight w:val="none"/>
        </w:rPr>
        <w:t>;</w:t>
      </w:r>
    </w:p>
    <w:p w14:paraId="7C6A7890">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(7)南京市政府采购供应商信用记录表暨信用承诺书。</w:t>
      </w:r>
    </w:p>
    <w:p w14:paraId="2C211F83">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eastAsia="zh-CN"/>
        </w:rPr>
        <w:t>二</w:t>
      </w:r>
      <w:r>
        <w:rPr>
          <w:rFonts w:hint="eastAsia" w:ascii="宋体" w:hAnsi="宋体" w:eastAsia="宋体" w:cs="宋体"/>
          <w:color w:val="000000"/>
          <w:sz w:val="24"/>
          <w:szCs w:val="24"/>
          <w:highlight w:val="none"/>
        </w:rPr>
        <w:t>）本项目的特定资格要求：</w:t>
      </w:r>
    </w:p>
    <w:p w14:paraId="15E1555E">
      <w:pPr>
        <w:spacing w:line="360" w:lineRule="auto"/>
        <w:ind w:firstLine="480"/>
        <w:rPr>
          <w:rFonts w:hint="eastAsia" w:ascii="Times New Roman" w:hAnsi="宋体" w:eastAsia="宋体" w:cs="Times New Roman"/>
          <w:b/>
          <w:sz w:val="24"/>
          <w:szCs w:val="24"/>
          <w:highlight w:val="none"/>
          <w:u w:val="single"/>
          <w:lang w:val="en-US" w:eastAsia="zh-CN"/>
        </w:rPr>
      </w:pPr>
      <w:r>
        <w:rPr>
          <w:rFonts w:hint="eastAsia" w:ascii="宋体" w:hAnsi="宋体" w:cs="宋体"/>
          <w:color w:val="000000"/>
          <w:sz w:val="24"/>
          <w:szCs w:val="24"/>
          <w:highlight w:val="none"/>
          <w:lang w:val="en-US" w:eastAsia="zh-CN"/>
        </w:rPr>
        <w:t>1、</w:t>
      </w:r>
      <w:r>
        <w:rPr>
          <w:rFonts w:hint="eastAsia" w:ascii="Times New Roman" w:hAnsi="宋体" w:eastAsia="宋体" w:cs="Times New Roman"/>
          <w:b/>
          <w:sz w:val="24"/>
          <w:szCs w:val="24"/>
          <w:highlight w:val="none"/>
          <w:u w:val="single"/>
          <w:lang w:val="en-US" w:eastAsia="zh-CN"/>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78D408C0">
      <w:pPr>
        <w:pStyle w:val="13"/>
        <w:spacing w:line="360" w:lineRule="auto"/>
        <w:ind w:firstLine="482" w:firstLineChars="200"/>
        <w:rPr>
          <w:rFonts w:hint="default"/>
          <w:b/>
          <w:bCs/>
          <w:sz w:val="24"/>
          <w:szCs w:val="24"/>
          <w:u w:val="single"/>
          <w:lang w:val="en-US" w:eastAsia="zh-CN"/>
        </w:rPr>
      </w:pPr>
      <w:r>
        <w:rPr>
          <w:rFonts w:hint="eastAsia" w:ascii="宋体" w:hAnsi="宋体" w:eastAsia="宋体" w:cs="宋体"/>
          <w:b/>
          <w:bCs/>
          <w:color w:val="000000"/>
          <w:sz w:val="24"/>
          <w:szCs w:val="24"/>
          <w:highlight w:val="none"/>
          <w:u w:val="none"/>
          <w:lang w:val="en-US" w:eastAsia="zh-CN" w:bidi="ar-SA"/>
        </w:rPr>
        <w:t>2、</w:t>
      </w:r>
      <w:r>
        <w:rPr>
          <w:rFonts w:hint="eastAsia" w:ascii="宋体" w:hAnsi="宋体" w:eastAsia="宋体" w:cs="宋体"/>
          <w:b/>
          <w:bCs/>
          <w:color w:val="000000"/>
          <w:sz w:val="24"/>
          <w:szCs w:val="24"/>
          <w:highlight w:val="none"/>
          <w:u w:val="single"/>
          <w:lang w:val="en-US" w:eastAsia="zh-CN" w:bidi="ar-SA"/>
        </w:rPr>
        <w:t>拒绝被“信用中国”（www.creditchina.gov.cn）、“中国政府采购网”</w:t>
      </w:r>
      <w:r>
        <w:rPr>
          <w:rFonts w:hint="eastAsia" w:ascii="Times New Roman" w:hAnsi="宋体" w:eastAsia="宋体" w:cs="Times New Roman"/>
          <w:b/>
          <w:bCs/>
          <w:sz w:val="24"/>
          <w:szCs w:val="24"/>
          <w:highlight w:val="none"/>
          <w:u w:val="single"/>
          <w:lang w:val="en-US" w:eastAsia="zh-CN" w:bidi="ar-SA"/>
        </w:rPr>
        <w:t>(www.ccgp.gov.cn）、“信用江苏”（http://credit.jiangsu.gov.cn/）列入失信被执行人、重大税收违法案件当事人、政府采购严重失信行为的供应商参加投标。</w:t>
      </w:r>
    </w:p>
    <w:p w14:paraId="1582DBE2">
      <w:pPr>
        <w:pStyle w:val="290"/>
        <w:shd w:val="clear" w:color="auto" w:fill="auto"/>
        <w:spacing w:before="0" w:after="0" w:line="360" w:lineRule="auto"/>
        <w:ind w:firstLine="422"/>
        <w:rPr>
          <w:rFonts w:ascii="宋体" w:hAnsi="宋体" w:cs="宋体"/>
          <w:bCs w:val="0"/>
          <w:color w:val="000000"/>
          <w:sz w:val="24"/>
          <w:szCs w:val="24"/>
          <w:highlight w:val="none"/>
        </w:rPr>
      </w:pPr>
      <w:bookmarkStart w:id="6" w:name="_Toc109304965"/>
      <w:r>
        <w:rPr>
          <w:rFonts w:hint="eastAsia" w:ascii="宋体" w:hAnsi="宋体" w:cs="宋体"/>
          <w:bCs w:val="0"/>
          <w:color w:val="000000"/>
          <w:sz w:val="24"/>
          <w:szCs w:val="24"/>
          <w:highlight w:val="none"/>
        </w:rPr>
        <w:t>三、获取采购文件</w:t>
      </w:r>
      <w:bookmarkEnd w:id="6"/>
    </w:p>
    <w:p w14:paraId="49E6F264">
      <w:pPr>
        <w:shd w:val="clear" w:color="auto" w:fill="auto"/>
        <w:spacing w:line="360" w:lineRule="auto"/>
        <w:ind w:firstLine="420"/>
        <w:rPr>
          <w:rFonts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1.时间：自</w:t>
      </w:r>
      <w:r>
        <w:rPr>
          <w:rFonts w:hint="eastAsia" w:ascii="宋体" w:hAnsi="宋体" w:cs="宋体"/>
          <w:color w:val="000000"/>
          <w:sz w:val="24"/>
          <w:szCs w:val="24"/>
          <w:highlight w:val="none"/>
          <w:lang w:eastAsia="zh-CN"/>
        </w:rPr>
        <w:t>磋商</w:t>
      </w:r>
      <w:r>
        <w:rPr>
          <w:rFonts w:hint="eastAsia" w:ascii="宋体" w:hAnsi="宋体" w:cs="宋体"/>
          <w:color w:val="000000"/>
          <w:sz w:val="24"/>
          <w:szCs w:val="24"/>
          <w:highlight w:val="none"/>
        </w:rPr>
        <w:t>公告发布之日起</w:t>
      </w:r>
      <w:r>
        <w:rPr>
          <w:rFonts w:hint="eastAsia" w:ascii="宋体" w:hAnsi="宋体" w:cs="宋体"/>
          <w:color w:val="000000"/>
          <w:sz w:val="24"/>
          <w:szCs w:val="24"/>
          <w:highlight w:val="none"/>
          <w:lang w:val="en-US" w:eastAsia="zh-CN"/>
        </w:rPr>
        <w:t>三日。</w:t>
      </w:r>
    </w:p>
    <w:p w14:paraId="44ED00D5">
      <w:pPr>
        <w:shd w:val="clear" w:color="auto" w:fill="auto"/>
        <w:spacing w:line="360" w:lineRule="auto"/>
        <w:ind w:firstLine="422"/>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2.获取方式：</w:t>
      </w:r>
      <w:r>
        <w:rPr>
          <w:rFonts w:hint="eastAsia" w:ascii="宋体" w:hAnsi="宋体" w:cs="宋体"/>
          <w:b w:val="0"/>
          <w:bCs w:val="0"/>
          <w:color w:val="000000"/>
          <w:sz w:val="24"/>
          <w:szCs w:val="24"/>
          <w:highlight w:val="none"/>
          <w:lang w:eastAsia="zh-CN"/>
        </w:rPr>
        <w:t>南京市江宁医院官网下载</w:t>
      </w:r>
      <w:r>
        <w:rPr>
          <w:rFonts w:hint="eastAsia" w:ascii="宋体" w:hAnsi="宋体" w:cs="宋体"/>
          <w:b w:val="0"/>
          <w:bCs w:val="0"/>
          <w:color w:val="000000"/>
          <w:sz w:val="24"/>
          <w:szCs w:val="24"/>
          <w:highlight w:val="none"/>
        </w:rPr>
        <w:t>。</w:t>
      </w:r>
    </w:p>
    <w:p w14:paraId="42BBD9D3">
      <w:pPr>
        <w:shd w:val="clear" w:color="auto" w:fill="auto"/>
        <w:spacing w:line="360" w:lineRule="auto"/>
        <w:ind w:firstLine="422"/>
        <w:rPr>
          <w:rFonts w:hint="eastAsia" w:ascii="宋体" w:hAnsi="宋体" w:cs="宋体"/>
          <w:b/>
          <w:bCs/>
          <w:color w:val="000000"/>
          <w:sz w:val="24"/>
          <w:szCs w:val="24"/>
          <w:highlight w:val="none"/>
          <w:lang w:eastAsia="zh-CN"/>
        </w:rPr>
      </w:pPr>
      <w:r>
        <w:rPr>
          <w:rFonts w:hint="eastAsia" w:ascii="宋体" w:hAnsi="宋体" w:cs="宋体"/>
          <w:b/>
          <w:bCs/>
          <w:color w:val="000000"/>
          <w:sz w:val="24"/>
          <w:szCs w:val="24"/>
          <w:highlight w:val="none"/>
          <w:lang w:eastAsia="zh-CN"/>
        </w:rPr>
        <w:t>四、报名</w:t>
      </w:r>
    </w:p>
    <w:p w14:paraId="70F09C04">
      <w:pPr>
        <w:shd w:val="clear" w:color="auto" w:fill="auto"/>
        <w:spacing w:line="360" w:lineRule="auto"/>
        <w:ind w:firstLine="422"/>
        <w:rPr>
          <w:rFonts w:hint="eastAsia"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1.时间：自</w:t>
      </w:r>
      <w:r>
        <w:rPr>
          <w:rFonts w:hint="eastAsia" w:ascii="宋体" w:hAnsi="宋体" w:cs="宋体"/>
          <w:b w:val="0"/>
          <w:bCs w:val="0"/>
          <w:color w:val="000000"/>
          <w:sz w:val="24"/>
          <w:szCs w:val="24"/>
          <w:highlight w:val="none"/>
          <w:lang w:eastAsia="zh-CN"/>
        </w:rPr>
        <w:t>磋商</w:t>
      </w:r>
      <w:r>
        <w:rPr>
          <w:rFonts w:hint="eastAsia" w:ascii="宋体" w:hAnsi="宋体" w:cs="宋体"/>
          <w:b w:val="0"/>
          <w:bCs w:val="0"/>
          <w:color w:val="000000"/>
          <w:sz w:val="24"/>
          <w:szCs w:val="24"/>
          <w:highlight w:val="none"/>
          <w:lang w:val="en-US" w:eastAsia="zh-CN"/>
        </w:rPr>
        <w:t>公告发布之日起二日</w:t>
      </w:r>
    </w:p>
    <w:p w14:paraId="08DBC6B9">
      <w:pPr>
        <w:shd w:val="clear" w:color="auto" w:fill="auto"/>
        <w:spacing w:line="360" w:lineRule="auto"/>
        <w:ind w:firstLine="422"/>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2.报名方式：发送报名邮件至南京市江宁医院医学装备部邮箱：JNYYYXZBB@163.com，报名格式见附件。</w:t>
      </w:r>
    </w:p>
    <w:p w14:paraId="1702CF7D">
      <w:pPr>
        <w:pStyle w:val="290"/>
        <w:shd w:val="clear" w:color="auto" w:fill="auto"/>
        <w:spacing w:before="0" w:after="0" w:line="360" w:lineRule="auto"/>
        <w:ind w:firstLine="422"/>
        <w:rPr>
          <w:rFonts w:ascii="宋体" w:hAnsi="宋体" w:cs="宋体"/>
          <w:bCs w:val="0"/>
          <w:color w:val="000000"/>
          <w:sz w:val="24"/>
          <w:szCs w:val="24"/>
          <w:highlight w:val="none"/>
        </w:rPr>
      </w:pPr>
      <w:bookmarkStart w:id="7" w:name="_Toc109304966"/>
      <w:r>
        <w:rPr>
          <w:rFonts w:hint="eastAsia" w:ascii="宋体" w:hAnsi="宋体" w:cs="宋体"/>
          <w:bCs w:val="0"/>
          <w:color w:val="000000"/>
          <w:sz w:val="24"/>
          <w:szCs w:val="24"/>
          <w:highlight w:val="none"/>
          <w:lang w:eastAsia="zh-CN"/>
        </w:rPr>
        <w:t>五</w:t>
      </w:r>
      <w:r>
        <w:rPr>
          <w:rFonts w:hint="eastAsia" w:ascii="宋体" w:hAnsi="宋体" w:cs="宋体"/>
          <w:bCs w:val="0"/>
          <w:color w:val="000000"/>
          <w:sz w:val="24"/>
          <w:szCs w:val="24"/>
          <w:highlight w:val="none"/>
        </w:rPr>
        <w:t>、响应文件提交</w:t>
      </w:r>
      <w:bookmarkEnd w:id="7"/>
    </w:p>
    <w:p w14:paraId="42787961">
      <w:pPr>
        <w:shd w:val="clear" w:color="auto" w:fill="auto"/>
        <w:spacing w:line="360" w:lineRule="auto"/>
        <w:ind w:firstLine="420"/>
        <w:rPr>
          <w:rFonts w:ascii="宋体" w:hAnsi="宋体" w:cs="宋体"/>
          <w:color w:val="000000"/>
          <w:sz w:val="24"/>
          <w:szCs w:val="24"/>
          <w:highlight w:val="none"/>
          <w:u w:val="single"/>
        </w:rPr>
      </w:pPr>
      <w:r>
        <w:rPr>
          <w:rFonts w:hint="eastAsia" w:ascii="宋体" w:hAnsi="宋体" w:cs="宋体"/>
          <w:color w:val="000000"/>
          <w:sz w:val="24"/>
          <w:szCs w:val="24"/>
          <w:highlight w:val="none"/>
        </w:rPr>
        <w:t>1.截止时间：</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日</w:t>
      </w:r>
      <w:r>
        <w:rPr>
          <w:rFonts w:hint="eastAsia" w:ascii="宋体" w:hAnsi="宋体" w:eastAsia="宋体" w:cs="宋体"/>
          <w:color w:val="000000"/>
          <w:sz w:val="24"/>
          <w:szCs w:val="24"/>
          <w:highlight w:val="none"/>
          <w:u w:val="single"/>
        </w:rPr>
        <w:t>1</w:t>
      </w:r>
      <w:r>
        <w:rPr>
          <w:rFonts w:hint="eastAsia" w:ascii="宋体" w:hAnsi="宋体" w:cs="宋体"/>
          <w:color w:val="000000"/>
          <w:sz w:val="24"/>
          <w:szCs w:val="24"/>
          <w:highlight w:val="none"/>
          <w:u w:val="single"/>
          <w:lang w:val="en-US" w:eastAsia="zh-CN"/>
        </w:rPr>
        <w:t>4</w:t>
      </w:r>
      <w:r>
        <w:rPr>
          <w:rFonts w:hint="eastAsia" w:ascii="宋体" w:hAnsi="宋体" w:eastAsia="宋体" w:cs="宋体"/>
          <w:color w:val="000000"/>
          <w:sz w:val="24"/>
          <w:szCs w:val="24"/>
          <w:highlight w:val="none"/>
          <w:u w:val="single"/>
        </w:rPr>
        <w:t>点</w:t>
      </w:r>
      <w:r>
        <w:rPr>
          <w:rFonts w:hint="eastAsia" w:ascii="宋体" w:hAnsi="宋体" w:cs="宋体"/>
          <w:color w:val="000000"/>
          <w:sz w:val="24"/>
          <w:szCs w:val="24"/>
          <w:highlight w:val="none"/>
          <w:u w:val="single"/>
          <w:lang w:val="en-US" w:eastAsia="zh-CN"/>
        </w:rPr>
        <w:t>15</w:t>
      </w:r>
      <w:r>
        <w:rPr>
          <w:rFonts w:hint="eastAsia" w:ascii="宋体" w:hAnsi="宋体" w:eastAsia="宋体" w:cs="宋体"/>
          <w:color w:val="000000"/>
          <w:sz w:val="24"/>
          <w:szCs w:val="24"/>
          <w:highlight w:val="none"/>
          <w:u w:val="single"/>
        </w:rPr>
        <w:t>分</w:t>
      </w:r>
      <w:r>
        <w:rPr>
          <w:rFonts w:hint="eastAsia" w:ascii="宋体" w:hAnsi="宋体" w:cs="宋体"/>
          <w:color w:val="000000"/>
          <w:sz w:val="24"/>
          <w:szCs w:val="24"/>
          <w:highlight w:val="none"/>
        </w:rPr>
        <w:t>（北京时间）</w:t>
      </w:r>
    </w:p>
    <w:p w14:paraId="7A29714C">
      <w:pPr>
        <w:shd w:val="clear" w:color="auto" w:fill="auto"/>
        <w:spacing w:line="360" w:lineRule="auto"/>
        <w:ind w:firstLine="420"/>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rPr>
        <w:t>2.投标地点：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4BFF7F15">
      <w:pPr>
        <w:shd w:val="clear" w:color="auto" w:fill="auto"/>
        <w:spacing w:line="360" w:lineRule="auto"/>
        <w:ind w:firstLine="420"/>
        <w:rPr>
          <w:rFonts w:hint="default" w:ascii="宋体" w:hAnsi="宋体" w:cs="宋体"/>
          <w:color w:val="000000"/>
          <w:sz w:val="24"/>
          <w:szCs w:val="24"/>
          <w:highlight w:val="yellow"/>
          <w:lang w:val="en-US" w:eastAsia="zh-CN"/>
        </w:rPr>
      </w:pPr>
      <w:r>
        <w:rPr>
          <w:rFonts w:hint="eastAsia" w:ascii="宋体" w:hAnsi="宋体" w:cs="宋体"/>
          <w:color w:val="auto"/>
          <w:sz w:val="24"/>
          <w:szCs w:val="24"/>
          <w:highlight w:val="none"/>
          <w:lang w:val="en-US" w:eastAsia="zh-CN"/>
        </w:rPr>
        <w:t>3.投标人</w:t>
      </w:r>
      <w:r>
        <w:rPr>
          <w:rFonts w:hint="eastAsia" w:ascii="宋体" w:hAnsi="宋体" w:cs="宋体"/>
          <w:b w:val="0"/>
          <w:bCs w:val="0"/>
          <w:color w:val="auto"/>
          <w:sz w:val="24"/>
          <w:szCs w:val="24"/>
          <w:highlight w:val="none"/>
          <w:lang w:val="en-US" w:eastAsia="zh-CN"/>
        </w:rPr>
        <w:t>应提供磋商响应文件一式伍份（正本壹份、副本肆份），所有响应文件均应密封后递交，同时应提供电子版投标文件壹份（电子版须为响应文件正本加盖公章、签字后形成PDF扫描件，扫描件内容应与纸质投标文件正本完全一致、U盘形式、随纸质正本文件一并提交）。当电子版文件和纸质正本文件不一致时，以纸质正本文件为准。电子版文件用于辅助评标和平台存档，投标人需承担前述不一致造成的不利后果。</w:t>
      </w:r>
    </w:p>
    <w:p w14:paraId="7AEF0AAF">
      <w:pPr>
        <w:pStyle w:val="290"/>
        <w:shd w:val="clear" w:color="auto" w:fill="auto"/>
        <w:spacing w:before="0" w:after="0" w:line="360" w:lineRule="auto"/>
        <w:ind w:firstLine="422"/>
        <w:rPr>
          <w:rFonts w:ascii="宋体" w:hAnsi="宋体" w:cs="宋体"/>
          <w:bCs w:val="0"/>
          <w:color w:val="000000"/>
          <w:sz w:val="24"/>
          <w:szCs w:val="24"/>
          <w:highlight w:val="none"/>
        </w:rPr>
      </w:pPr>
      <w:bookmarkStart w:id="8" w:name="_Toc109304967"/>
      <w:r>
        <w:rPr>
          <w:rFonts w:hint="eastAsia" w:ascii="宋体" w:hAnsi="宋体" w:cs="宋体"/>
          <w:bCs w:val="0"/>
          <w:color w:val="000000"/>
          <w:sz w:val="24"/>
          <w:szCs w:val="24"/>
          <w:highlight w:val="none"/>
          <w:lang w:eastAsia="zh-CN"/>
        </w:rPr>
        <w:t>六</w:t>
      </w:r>
      <w:r>
        <w:rPr>
          <w:rFonts w:hint="eastAsia" w:ascii="宋体" w:hAnsi="宋体" w:cs="宋体"/>
          <w:bCs w:val="0"/>
          <w:color w:val="000000"/>
          <w:sz w:val="24"/>
          <w:szCs w:val="24"/>
          <w:highlight w:val="none"/>
        </w:rPr>
        <w:t>、开启</w:t>
      </w:r>
      <w:bookmarkEnd w:id="8"/>
    </w:p>
    <w:p w14:paraId="64B4FD94">
      <w:pPr>
        <w:pStyle w:val="291"/>
        <w:shd w:val="clear" w:color="auto" w:fill="auto"/>
        <w:spacing w:line="360" w:lineRule="auto"/>
        <w:rPr>
          <w:rFonts w:ascii="宋体" w:hAnsi="宋体" w:cs="宋体"/>
          <w:bCs/>
          <w:color w:val="000000"/>
          <w:sz w:val="24"/>
          <w:szCs w:val="24"/>
          <w:highlight w:val="none"/>
        </w:rPr>
      </w:pPr>
      <w:r>
        <w:rPr>
          <w:rFonts w:hint="eastAsia" w:ascii="宋体" w:hAnsi="宋体" w:cs="宋体"/>
          <w:color w:val="000000"/>
          <w:sz w:val="24"/>
          <w:szCs w:val="24"/>
          <w:highlight w:val="none"/>
        </w:rPr>
        <w:t>1.时间：</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日</w:t>
      </w:r>
      <w:r>
        <w:rPr>
          <w:rFonts w:hint="eastAsia" w:ascii="宋体" w:hAnsi="宋体" w:cs="宋体"/>
          <w:bCs/>
          <w:color w:val="000000"/>
          <w:sz w:val="24"/>
          <w:szCs w:val="24"/>
          <w:highlight w:val="none"/>
          <w:u w:val="single"/>
        </w:rPr>
        <w:t>14点</w:t>
      </w:r>
      <w:r>
        <w:rPr>
          <w:rFonts w:hint="eastAsia" w:ascii="宋体" w:hAnsi="宋体" w:cs="宋体"/>
          <w:bCs/>
          <w:color w:val="000000"/>
          <w:sz w:val="24"/>
          <w:szCs w:val="24"/>
          <w:highlight w:val="none"/>
          <w:u w:val="single"/>
          <w:lang w:val="en-US" w:eastAsia="zh-CN"/>
        </w:rPr>
        <w:t>30</w:t>
      </w:r>
      <w:r>
        <w:rPr>
          <w:rFonts w:hint="eastAsia" w:ascii="宋体" w:hAnsi="宋体" w:cs="宋体"/>
          <w:bCs/>
          <w:color w:val="000000"/>
          <w:sz w:val="24"/>
          <w:szCs w:val="24"/>
          <w:highlight w:val="none"/>
          <w:u w:val="single"/>
        </w:rPr>
        <w:t>分</w:t>
      </w:r>
      <w:r>
        <w:rPr>
          <w:rFonts w:hint="eastAsia" w:ascii="宋体" w:hAnsi="宋体" w:cs="宋体"/>
          <w:bCs/>
          <w:color w:val="000000"/>
          <w:sz w:val="24"/>
          <w:szCs w:val="24"/>
          <w:highlight w:val="none"/>
        </w:rPr>
        <w:t>（北京时间）</w:t>
      </w:r>
    </w:p>
    <w:p w14:paraId="0DB0FCE8">
      <w:pPr>
        <w:shd w:val="clear" w:color="auto" w:fill="auto"/>
        <w:spacing w:line="360" w:lineRule="auto"/>
        <w:ind w:firstLine="42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2.开标地点：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3AA272C9">
      <w:pPr>
        <w:pStyle w:val="290"/>
        <w:shd w:val="clear" w:color="auto" w:fill="auto"/>
        <w:spacing w:before="0" w:after="0" w:line="360" w:lineRule="auto"/>
        <w:ind w:firstLine="422"/>
        <w:rPr>
          <w:rFonts w:ascii="宋体" w:hAnsi="宋体" w:cs="宋体"/>
          <w:color w:val="000000"/>
          <w:sz w:val="24"/>
          <w:szCs w:val="24"/>
          <w:highlight w:val="none"/>
        </w:rPr>
      </w:pPr>
      <w:bookmarkStart w:id="9" w:name="_Toc109304971"/>
      <w:r>
        <w:rPr>
          <w:rFonts w:hint="eastAsia" w:ascii="宋体" w:hAnsi="宋体" w:cs="宋体"/>
          <w:color w:val="000000"/>
          <w:sz w:val="24"/>
          <w:szCs w:val="24"/>
          <w:highlight w:val="none"/>
        </w:rPr>
        <w:t>七、其他</w:t>
      </w:r>
      <w:bookmarkEnd w:id="9"/>
      <w:r>
        <w:rPr>
          <w:rFonts w:hint="eastAsia" w:ascii="宋体" w:hAnsi="宋体" w:cs="宋体"/>
          <w:color w:val="000000"/>
          <w:sz w:val="24"/>
          <w:szCs w:val="24"/>
          <w:highlight w:val="none"/>
        </w:rPr>
        <w:t>补充事宜</w:t>
      </w:r>
    </w:p>
    <w:p w14:paraId="0007915E">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.本次采购不收取保证金。</w:t>
      </w:r>
    </w:p>
    <w:p w14:paraId="49317FD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.现场考察、答疑时间：采购人不统一组织，有需要的供应商自行考察</w:t>
      </w:r>
      <w:r>
        <w:rPr>
          <w:rFonts w:hint="eastAsia" w:ascii="宋体" w:hAnsi="宋体" w:cs="宋体"/>
          <w:color w:val="000000"/>
          <w:sz w:val="24"/>
          <w:szCs w:val="24"/>
          <w:highlight w:val="none"/>
          <w:lang w:eastAsia="zh-CN"/>
        </w:rPr>
        <w:t>。</w:t>
      </w:r>
    </w:p>
    <w:p w14:paraId="67FFFF3F">
      <w:pPr>
        <w:shd w:val="clear" w:color="auto" w:fill="auto"/>
        <w:spacing w:line="360" w:lineRule="auto"/>
        <w:ind w:firstLine="420"/>
        <w:rPr>
          <w:rFonts w:hint="eastAsia" w:ascii="宋体" w:hAnsi="宋体" w:cs="宋体"/>
          <w:color w:val="000000"/>
          <w:sz w:val="24"/>
          <w:szCs w:val="24"/>
          <w:highlight w:val="none"/>
          <w:lang w:val="en-US" w:eastAsia="zh-CN"/>
        </w:rPr>
      </w:pPr>
      <w:bookmarkStart w:id="10" w:name="_Toc109304969"/>
      <w:r>
        <w:rPr>
          <w:rFonts w:hint="eastAsia" w:ascii="宋体" w:hAnsi="宋体" w:cs="宋体"/>
          <w:color w:val="000000"/>
          <w:sz w:val="24"/>
          <w:szCs w:val="24"/>
          <w:highlight w:val="none"/>
          <w:lang w:val="en-US" w:eastAsia="zh-CN"/>
        </w:rPr>
        <w:t>3.设备单台报价应不低于1500元。</w:t>
      </w:r>
    </w:p>
    <w:p w14:paraId="60610184">
      <w:pPr>
        <w:shd w:val="clear" w:color="auto" w:fill="auto"/>
        <w:spacing w:line="360" w:lineRule="auto"/>
        <w:ind w:firstLine="420"/>
        <w:jc w:val="left"/>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rPr>
        <w:t>.根据《关于在政府采购活动中推行信用承诺制的通知》宁财购通〔2021〕5号规定，参加南京地区政府采购活动的供应商，应以书面形式向采购人作出信用承诺。</w:t>
      </w:r>
      <w:r>
        <w:rPr>
          <w:rFonts w:hint="eastAsia" w:ascii="宋体" w:hAnsi="宋体" w:cs="宋体"/>
          <w:color w:val="000000"/>
          <w:sz w:val="24"/>
          <w:szCs w:val="24"/>
          <w:highlight w:val="none"/>
          <w:lang w:eastAsia="zh-CN"/>
        </w:rPr>
        <w:t>供应商应按照《南京市江宁医院院内磋商响应文件目录》模板要求打印</w:t>
      </w:r>
      <w:r>
        <w:rPr>
          <w:rFonts w:hint="eastAsia" w:ascii="宋体" w:hAnsi="宋体" w:eastAsia="宋体" w:cs="宋体"/>
          <w:color w:val="000000"/>
          <w:sz w:val="24"/>
          <w:szCs w:val="24"/>
          <w:highlight w:val="none"/>
        </w:rPr>
        <w:t>本单位《南京市政府采购供应商信用记录表暨信用承诺书》，由法人签字并盖单位公章，装订在响应文件中。</w:t>
      </w:r>
    </w:p>
    <w:p w14:paraId="30D3F8A3">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在政府采购资格审查环节，供应商只需提供书面《南京市政府采购供应商信用记录表暨信用承诺书》，即可替代以下证明材料： </w:t>
      </w:r>
    </w:p>
    <w:p w14:paraId="36DB486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（1）符合国家相关规定的财务状况报告； </w:t>
      </w:r>
    </w:p>
    <w:p w14:paraId="270D9B5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（2）依法缴纳税收的证明材料； </w:t>
      </w:r>
    </w:p>
    <w:p w14:paraId="5A232D1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（3）依法缴纳社会保障资金的证明材料； </w:t>
      </w:r>
    </w:p>
    <w:p w14:paraId="0EFB03F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（4）具备履行政府采购合同所必需的设备和专业技术能力的证明材料； </w:t>
      </w:r>
    </w:p>
    <w:p w14:paraId="7ADFED8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（5）参加政府采购活动前三年内在经营活动中没有重大违法记录的证明材料； </w:t>
      </w:r>
    </w:p>
    <w:p w14:paraId="10E3B5E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（6）未被列入失信被执行人、重大税收违法失信主体、政府采购严重违法失信行为记录名单的证明材料</w:t>
      </w:r>
      <w:r>
        <w:rPr>
          <w:rFonts w:hint="eastAsia" w:ascii="宋体" w:hAnsi="宋体" w:cs="宋体"/>
          <w:color w:val="000000"/>
          <w:sz w:val="24"/>
          <w:szCs w:val="24"/>
          <w:highlight w:val="none"/>
          <w:lang w:eastAsia="zh-CN"/>
        </w:rPr>
        <w:t>。</w:t>
      </w:r>
    </w:p>
    <w:p w14:paraId="337AEA84">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供应商涉及以下情形的，不适用信用承诺： </w:t>
      </w:r>
    </w:p>
    <w:p w14:paraId="3E491408">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（1）供应商被列入严重失信主体名单； </w:t>
      </w:r>
    </w:p>
    <w:p w14:paraId="4CD1B09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（2）被相关监管部门作出行政处罚且尚在处罚有效期内； </w:t>
      </w:r>
    </w:p>
    <w:p w14:paraId="44BD504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（3）其他法律、行政法规规定的不适用信用承诺的情形。 </w:t>
      </w:r>
    </w:p>
    <w:p w14:paraId="69ACB4C0">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eastAsia="宋体" w:cs="宋体"/>
          <w:color w:val="000000"/>
          <w:sz w:val="24"/>
          <w:szCs w:val="24"/>
          <w:highlight w:val="none"/>
        </w:rPr>
        <w:t>供应商对信用承诺内容的真实性、合法性、有效性负责。如作出虚假信用承诺，视同为“提供虚假材料谋取中标、成交”的违法行为。</w:t>
      </w:r>
    </w:p>
    <w:p w14:paraId="391A38A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eastAsia="宋体" w:cs="宋体"/>
          <w:color w:val="000000"/>
          <w:sz w:val="24"/>
          <w:szCs w:val="24"/>
          <w:highlight w:val="none"/>
        </w:rPr>
        <w:t>.有关本次采购的事项若存在变动或修改，敬请及时关注</w:t>
      </w:r>
      <w:r>
        <w:rPr>
          <w:rFonts w:hint="eastAsia" w:ascii="宋体" w:hAnsi="宋体" w:cs="宋体"/>
          <w:color w:val="000000"/>
          <w:sz w:val="24"/>
          <w:szCs w:val="24"/>
          <w:highlight w:val="none"/>
          <w:lang w:eastAsia="zh-CN"/>
        </w:rPr>
        <w:t>南京市</w:t>
      </w:r>
      <w:r>
        <w:rPr>
          <w:rFonts w:hint="eastAsia" w:ascii="宋体" w:hAnsi="宋体" w:cs="宋体"/>
          <w:color w:val="000000"/>
          <w:sz w:val="24"/>
          <w:szCs w:val="24"/>
          <w:highlight w:val="none"/>
          <w:lang w:val="en-US" w:eastAsia="zh-CN"/>
        </w:rPr>
        <w:t>江宁医院官网</w:t>
      </w:r>
      <w:r>
        <w:rPr>
          <w:rFonts w:hint="eastAsia" w:ascii="宋体" w:hAnsi="宋体" w:eastAsia="宋体" w:cs="宋体"/>
          <w:color w:val="000000"/>
          <w:sz w:val="24"/>
          <w:szCs w:val="24"/>
          <w:highlight w:val="none"/>
        </w:rPr>
        <w:t>发布的信息。</w:t>
      </w:r>
    </w:p>
    <w:p w14:paraId="66061B2B">
      <w:pPr>
        <w:pStyle w:val="290"/>
        <w:shd w:val="clear" w:color="auto" w:fill="auto"/>
        <w:spacing w:before="0" w:after="0"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八、</w:t>
      </w:r>
      <w:bookmarkEnd w:id="10"/>
      <w:r>
        <w:rPr>
          <w:rFonts w:hint="eastAsia" w:ascii="宋体" w:hAnsi="宋体" w:cs="宋体"/>
          <w:color w:val="000000"/>
          <w:sz w:val="24"/>
          <w:szCs w:val="24"/>
          <w:highlight w:val="none"/>
        </w:rPr>
        <w:t>对本次</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提出询问，请按以下方式联系</w:t>
      </w:r>
    </w:p>
    <w:p w14:paraId="09A3F099">
      <w:pPr>
        <w:shd w:val="clear" w:color="auto" w:fill="auto"/>
        <w:spacing w:line="360" w:lineRule="auto"/>
        <w:ind w:firstLine="420"/>
        <w:rPr>
          <w:rFonts w:hint="eastAsia" w:ascii="宋体" w:hAnsi="宋体" w:cs="宋体"/>
          <w:color w:val="000000"/>
          <w:sz w:val="24"/>
          <w:szCs w:val="24"/>
          <w:highlight w:val="none"/>
          <w:lang w:val="zh-CN" w:eastAsia="zh-CN"/>
        </w:rPr>
      </w:pPr>
      <w:bookmarkStart w:id="11" w:name="_Toc28359019"/>
      <w:bookmarkStart w:id="12" w:name="_Toc35393806"/>
      <w:bookmarkStart w:id="13" w:name="_Toc28359096"/>
      <w:bookmarkStart w:id="14" w:name="_Toc35393637"/>
      <w:r>
        <w:rPr>
          <w:rFonts w:hint="eastAsia" w:ascii="宋体" w:hAnsi="宋体" w:cs="宋体"/>
          <w:color w:val="000000"/>
          <w:sz w:val="24"/>
          <w:szCs w:val="24"/>
          <w:highlight w:val="none"/>
          <w:lang w:val="zh-CN" w:eastAsia="zh-CN"/>
        </w:rPr>
        <w:t>1</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4"/>
          <w:highlight w:val="none"/>
          <w:lang w:val="zh-CN" w:eastAsia="zh-CN"/>
        </w:rPr>
        <w:t>采购人信息</w:t>
      </w:r>
    </w:p>
    <w:p w14:paraId="71947E01">
      <w:pPr>
        <w:shd w:val="clear" w:color="auto" w:fill="auto"/>
        <w:spacing w:line="360" w:lineRule="auto"/>
        <w:ind w:firstLine="420"/>
        <w:rPr>
          <w:rFonts w:hint="eastAsia" w:ascii="宋体" w:hAnsi="宋体" w:cs="宋体"/>
          <w:color w:val="000000"/>
          <w:sz w:val="24"/>
          <w:szCs w:val="24"/>
          <w:highlight w:val="none"/>
          <w:lang w:val="zh-CN" w:eastAsia="zh-CN"/>
        </w:rPr>
      </w:pPr>
      <w:r>
        <w:rPr>
          <w:rFonts w:hint="eastAsia" w:ascii="宋体" w:hAnsi="宋体" w:cs="宋体"/>
          <w:color w:val="000000"/>
          <w:sz w:val="24"/>
          <w:szCs w:val="24"/>
          <w:highlight w:val="none"/>
          <w:lang w:val="zh-CN" w:eastAsia="zh-CN"/>
        </w:rPr>
        <w:t>采购人：南京市江宁医院</w:t>
      </w:r>
    </w:p>
    <w:p w14:paraId="0FB49C66">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采购人地址：南京市江宁区湖山路</w:t>
      </w:r>
      <w:r>
        <w:rPr>
          <w:rFonts w:hint="eastAsia" w:ascii="宋体" w:hAnsi="宋体" w:cs="宋体"/>
          <w:color w:val="000000"/>
          <w:sz w:val="24"/>
          <w:szCs w:val="24"/>
          <w:highlight w:val="none"/>
          <w:lang w:val="en-US" w:eastAsia="zh-CN"/>
        </w:rPr>
        <w:t>169号</w:t>
      </w:r>
    </w:p>
    <w:p w14:paraId="78949CCF">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联系方式：</w:t>
      </w:r>
      <w:r>
        <w:rPr>
          <w:rFonts w:hint="eastAsia" w:ascii="宋体" w:hAnsi="宋体" w:cs="宋体"/>
          <w:color w:val="000000"/>
          <w:sz w:val="24"/>
          <w:szCs w:val="24"/>
          <w:highlight w:val="none"/>
          <w:lang w:val="en-US" w:eastAsia="zh-CN"/>
        </w:rPr>
        <w:t>025-52087688</w:t>
      </w:r>
    </w:p>
    <w:bookmarkEnd w:id="11"/>
    <w:bookmarkEnd w:id="12"/>
    <w:bookmarkEnd w:id="13"/>
    <w:bookmarkEnd w:id="14"/>
    <w:p w14:paraId="7BA20325">
      <w:pPr>
        <w:shd w:val="clear" w:color="auto" w:fill="auto"/>
        <w:spacing w:line="360" w:lineRule="auto"/>
        <w:rPr>
          <w:rFonts w:hint="eastAsia" w:ascii="宋体" w:hAnsi="宋体" w:cs="宋体"/>
          <w:bCs/>
          <w:color w:val="000000"/>
          <w:szCs w:val="21"/>
          <w:highlight w:val="yellow"/>
          <w:lang w:val="en-US" w:eastAsia="zh-CN"/>
        </w:rPr>
      </w:pPr>
    </w:p>
    <w:p w14:paraId="4153CFF4">
      <w:pPr>
        <w:rPr>
          <w:rFonts w:hint="eastAsia"/>
        </w:rPr>
      </w:pPr>
      <w:bookmarkStart w:id="15" w:name="_Toc5702"/>
      <w:bookmarkStart w:id="16" w:name="_Toc109304972"/>
      <w:r>
        <w:rPr>
          <w:rFonts w:hint="eastAsia"/>
        </w:rPr>
        <w:br w:type="page"/>
      </w:r>
    </w:p>
    <w:p w14:paraId="54041FF7">
      <w:pPr>
        <w:pStyle w:val="2"/>
        <w:keepNext/>
        <w:keepLines/>
        <w:pageBreakBefore w:val="0"/>
        <w:widowControl w:val="0"/>
        <w:kinsoku/>
        <w:wordWrap/>
        <w:overflowPunct/>
        <w:topLinePunct w:val="0"/>
        <w:autoSpaceDE/>
        <w:autoSpaceDN/>
        <w:bidi w:val="0"/>
        <w:adjustRightInd/>
        <w:snapToGrid/>
        <w:textAlignment w:val="auto"/>
        <w:rPr>
          <w:rFonts w:hint="eastAsia"/>
        </w:rPr>
      </w:pPr>
      <w:r>
        <w:rPr>
          <w:rFonts w:hint="eastAsia"/>
        </w:rPr>
        <w:t xml:space="preserve">第二章 </w:t>
      </w:r>
      <w:r>
        <w:rPr>
          <w:rFonts w:hint="eastAsia"/>
          <w:lang w:val="en-US" w:eastAsia="zh-CN"/>
        </w:rPr>
        <w:t>院内磋商</w:t>
      </w:r>
      <w:r>
        <w:rPr>
          <w:rFonts w:hint="eastAsia"/>
        </w:rPr>
        <w:t>须知</w:t>
      </w:r>
      <w:bookmarkEnd w:id="15"/>
      <w:bookmarkEnd w:id="16"/>
    </w:p>
    <w:p w14:paraId="30E51EB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1、采购方式</w:t>
      </w:r>
    </w:p>
    <w:p w14:paraId="506E3CE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1.1 本次采购采取</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方式，本采购文件仅适用于本采购项目。</w:t>
      </w:r>
    </w:p>
    <w:p w14:paraId="4C5E85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2、供应商</w:t>
      </w:r>
    </w:p>
    <w:p w14:paraId="0D956B82">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2.1 参加</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的供应商以下简称“供应商”，是指参加磋商并符合采购文件规定资格条件的法人、其他组织或者自然人。</w:t>
      </w:r>
    </w:p>
    <w:p w14:paraId="79945AAE">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2.2合格的供应商</w:t>
      </w:r>
    </w:p>
    <w:p w14:paraId="608BEAD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2.2.1 满足采购公告中供应商的资格条件要求的规定。</w:t>
      </w:r>
    </w:p>
    <w:p w14:paraId="17C399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2.2.2 满足本文件实质性条款的规定。</w:t>
      </w:r>
    </w:p>
    <w:p w14:paraId="525830C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3、适用法律</w:t>
      </w:r>
    </w:p>
    <w:p w14:paraId="4F5B5AF0">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本次采购及由此产生的合同受中华人民共和国有关的法律法规制约和保护。</w:t>
      </w:r>
    </w:p>
    <w:p w14:paraId="4A944A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、采购文件的约束力</w:t>
      </w:r>
    </w:p>
    <w:p w14:paraId="27D737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供应商一旦参加本项目采购活动，即被认为接受了本采购文件的规定和约束。</w:t>
      </w:r>
    </w:p>
    <w:p w14:paraId="3199D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、采购文件构成</w:t>
      </w:r>
    </w:p>
    <w:p w14:paraId="03DD1D5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.1 采购文件有以下部分组成：</w:t>
      </w:r>
    </w:p>
    <w:p w14:paraId="66AF87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（1）采购公告</w:t>
      </w:r>
    </w:p>
    <w:p w14:paraId="5D7A78C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（2）磋商须知</w:t>
      </w:r>
      <w:r>
        <w:rPr>
          <w:rFonts w:hint="eastAsia" w:ascii="宋体" w:hAnsi="宋体" w:cs="宋体"/>
          <w:color w:val="000000"/>
          <w:sz w:val="24"/>
          <w:szCs w:val="24"/>
          <w:highlight w:val="none"/>
        </w:rPr>
        <w:tab/>
      </w:r>
    </w:p>
    <w:p w14:paraId="1651998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（3）合同条款及格式</w:t>
      </w:r>
    </w:p>
    <w:p w14:paraId="4F2D4E2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（4）项目需求</w:t>
      </w:r>
    </w:p>
    <w:p w14:paraId="0B010BA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（5）评审方法与评审标准</w:t>
      </w:r>
    </w:p>
    <w:p w14:paraId="3054DC3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w:t>
      </w:r>
      <w:r>
        <w:rPr>
          <w:rFonts w:hint="eastAsia" w:ascii="宋体" w:hAnsi="宋体" w:cs="宋体"/>
          <w:color w:val="000000"/>
          <w:sz w:val="24"/>
          <w:szCs w:val="24"/>
          <w:highlight w:val="none"/>
          <w:lang w:eastAsia="zh-CN"/>
        </w:rPr>
        <w:t>院内</w:t>
      </w:r>
      <w:r>
        <w:rPr>
          <w:rFonts w:hint="eastAsia" w:ascii="宋体" w:hAnsi="宋体" w:cs="宋体"/>
          <w:color w:val="000000"/>
          <w:sz w:val="24"/>
          <w:szCs w:val="24"/>
          <w:highlight w:val="none"/>
        </w:rPr>
        <w:t>磋商响应文件格式</w:t>
      </w:r>
    </w:p>
    <w:p w14:paraId="0EDCB60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请仔细检查采购文件是否齐全，如有缺漏请立即与代理机构联系解决。</w:t>
      </w:r>
    </w:p>
    <w:p w14:paraId="3D0D55F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.2 采购的最小单位是包。采购服务数量及技术要求中未分包的，供应商对要求提供的服务不得部分响应；采购服务数量及技术要求中已经分包的，应当以包为单位响应。</w:t>
      </w:r>
    </w:p>
    <w:p w14:paraId="6624351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.3 采购文件如果要求供应商提交备选响应方案的，供应商可以提交备选方案；否则，备选方案将被拒绝。</w:t>
      </w:r>
    </w:p>
    <w:p w14:paraId="0EF02C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.4 供应商应认真阅读采购文件中所有的事项、格式、条款和规范等要求。按采购文件要求和规定编制响应文件，并保证所提供的全部资料的真实性，以使其响应文件对采购文件作出实质性响应，否则其风险由供应商自行承担。</w:t>
      </w:r>
    </w:p>
    <w:p w14:paraId="3006FAA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、采购文件的澄清</w:t>
      </w:r>
    </w:p>
    <w:p w14:paraId="5AF413D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任何要求对采购文件进行澄清的供应商，应在提交首次响应文件截止时间至少</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日前按采购公告中的通讯地址，以书面形式通知</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lang w:eastAsia="zh-CN"/>
        </w:rPr>
        <w:t>人</w:t>
      </w:r>
      <w:r>
        <w:rPr>
          <w:rFonts w:hint="eastAsia" w:ascii="宋体" w:hAnsi="宋体" w:cs="宋体"/>
          <w:color w:val="000000"/>
          <w:sz w:val="24"/>
          <w:szCs w:val="24"/>
          <w:highlight w:val="none"/>
        </w:rPr>
        <w:t>。</w:t>
      </w:r>
    </w:p>
    <w:p w14:paraId="62951F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、采购文件的修改</w:t>
      </w:r>
    </w:p>
    <w:p w14:paraId="1B452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提交首次响应文件截止之日前，采购人或者磋商小组可以对已发出的磋商文件进行必要的澄清或者修改，澄清或者修改的内容作为磋商文件的组成部分。澄清或者修改的内容可能影响响应文件编制的，采购人应当在提交首次响应文件截止时间至</w:t>
      </w:r>
      <w:r>
        <w:rPr>
          <w:rFonts w:hint="eastAsia" w:ascii="宋体" w:hAnsi="宋体" w:eastAsia="宋体" w:cs="宋体"/>
          <w:color w:val="000000"/>
          <w:sz w:val="24"/>
          <w:szCs w:val="24"/>
          <w:highlight w:val="none"/>
        </w:rPr>
        <w:t>少</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日前</w:t>
      </w:r>
      <w:r>
        <w:rPr>
          <w:rFonts w:hint="eastAsia" w:ascii="宋体" w:hAnsi="宋体" w:cs="宋体"/>
          <w:color w:val="000000"/>
          <w:sz w:val="24"/>
          <w:szCs w:val="24"/>
          <w:highlight w:val="none"/>
        </w:rPr>
        <w:t>，通知所有获取磋商文件的供应商；不足</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日的，采购人、采购代理机构应当顺延提交首次响应文件截止时间。</w:t>
      </w:r>
    </w:p>
    <w:p w14:paraId="171D81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.2采购文件的修改将在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公布，补充文件将作为采购文件的组成部分，并对供应商具有约束力。</w:t>
      </w:r>
    </w:p>
    <w:p w14:paraId="1B84ABC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、采购文件的语言、度量衡单位、货币</w:t>
      </w:r>
    </w:p>
    <w:p w14:paraId="0A6214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.1供应商提交的响应文件以及供应商与代理机构就有关磋商的所有来往通知、函件和文件均应使用简体中文。</w:t>
      </w:r>
    </w:p>
    <w:p w14:paraId="6230AC1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.2 除技术性能另有规定外，采购文件所使用的度量衡单位，均须采用国家法定计量单位。</w:t>
      </w:r>
    </w:p>
    <w:p w14:paraId="7B59802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.3采购文件中的服务单价和总价无特殊规定的采用人民币报价。采购文件中另有规定的按规定执行。</w:t>
      </w:r>
    </w:p>
    <w:p w14:paraId="69129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、响应文件构成</w:t>
      </w:r>
    </w:p>
    <w:p w14:paraId="788FA2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.1磋商文件由以下部分组成</w:t>
      </w:r>
    </w:p>
    <w:p w14:paraId="450C777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（1）资格审查响应对照表</w:t>
      </w:r>
    </w:p>
    <w:p w14:paraId="4C8B6C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（2）符合性审查响应对照表</w:t>
      </w:r>
    </w:p>
    <w:p w14:paraId="74779D6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（3）磋商响应报价表 </w:t>
      </w:r>
    </w:p>
    <w:p w14:paraId="3DE9243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（4）技术参数响应及偏离表 </w:t>
      </w:r>
    </w:p>
    <w:p w14:paraId="0846D87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（5）商务条款响应及偏离表 </w:t>
      </w:r>
    </w:p>
    <w:p w14:paraId="6515E5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（6）其他（供应商认为有必要提供的声明和文件，如有自拟并自行添加）</w:t>
      </w:r>
    </w:p>
    <w:p w14:paraId="3E7685E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.2 供应商应当根据采购文件要求编制响应文件，响应文件应对采购文件提出的要求和条件作出响应，并在相应的响应文件中逐条标明满足与否。</w:t>
      </w:r>
    </w:p>
    <w:p w14:paraId="49457B0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、证明供应商资格及符合采购文件规定的文件</w:t>
      </w:r>
    </w:p>
    <w:p w14:paraId="0453B9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.1供应商应按要求提交资格证明文件及符合采购文件规定的文件。</w:t>
      </w:r>
    </w:p>
    <w:p w14:paraId="3211D95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.2供应商应提交证明其有资格参加磋商和成交后有能力独立履行合同的文件。</w:t>
      </w:r>
    </w:p>
    <w:p w14:paraId="02765D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.3供应商除必须具有履行合同所需提供的产品或服务的能力外，还必须具备相应的财务、技术方面的能力。</w:t>
      </w:r>
    </w:p>
    <w:p w14:paraId="4489C21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.4供应商应提交根据合同要求提供的证明服务质量合格以及符合采购文件规定的证明文件。</w:t>
      </w:r>
    </w:p>
    <w:p w14:paraId="2BF616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.5证明供应商所提供服务与采购文件的要求相一致的文件可以是手册、图纸、文字资料和数据。</w:t>
      </w:r>
    </w:p>
    <w:p w14:paraId="6388EB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、磋商响应报价表</w:t>
      </w:r>
    </w:p>
    <w:p w14:paraId="33CF8D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 供应商应按照采购文件规定格式填报磋商响应报价表，每项只允许有一个报价，任何有选择的报价将不予接受。</w:t>
      </w:r>
    </w:p>
    <w:p w14:paraId="27BC9E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标的物</w:t>
      </w:r>
    </w:p>
    <w:p w14:paraId="40E081F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采购人需求的</w:t>
      </w:r>
      <w:r>
        <w:rPr>
          <w:rFonts w:hint="eastAsia" w:ascii="宋体" w:hAnsi="宋体" w:cs="宋体"/>
          <w:color w:val="000000"/>
          <w:sz w:val="24"/>
          <w:szCs w:val="24"/>
          <w:highlight w:val="none"/>
          <w:lang w:eastAsia="zh-CN"/>
        </w:rPr>
        <w:t>相关货物或</w:t>
      </w:r>
      <w:r>
        <w:rPr>
          <w:rFonts w:hint="eastAsia" w:ascii="宋体" w:hAnsi="宋体" w:cs="宋体"/>
          <w:color w:val="000000"/>
          <w:sz w:val="24"/>
          <w:szCs w:val="24"/>
          <w:highlight w:val="none"/>
        </w:rPr>
        <w:t>服务等。</w:t>
      </w:r>
    </w:p>
    <w:p w14:paraId="2FB205B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.3其它费用处理</w:t>
      </w:r>
    </w:p>
    <w:p w14:paraId="490C171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采购文件未列明，而供应商认为必需的费用也需列入报价。</w:t>
      </w:r>
    </w:p>
    <w:p w14:paraId="1DB7FC37">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、技术参数响应及偏离表、商务条款响应及偏离表及磋商服务说明</w:t>
      </w:r>
    </w:p>
    <w:p w14:paraId="0992105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 对采购文件中的技术与商务条款要求逐项作出响应或偏离，并说明原因；</w:t>
      </w:r>
    </w:p>
    <w:p w14:paraId="1552CB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供应商认为需要的其他技术文件或说明。</w:t>
      </w:r>
    </w:p>
    <w:p w14:paraId="157BFCE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、供应商的服务承诺应按不低于采购文件中商务要求的标准。</w:t>
      </w:r>
    </w:p>
    <w:p w14:paraId="19D584C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提供供应商有关售后服务的管理制度、售后服务机构的分布情况、售后服务人员的数量、素质、技术水平及售后服务的反应能力</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如有）</w:t>
      </w:r>
      <w:r>
        <w:rPr>
          <w:rFonts w:hint="eastAsia" w:ascii="宋体" w:hAnsi="宋体" w:cs="宋体"/>
          <w:color w:val="000000"/>
          <w:sz w:val="24"/>
          <w:szCs w:val="24"/>
          <w:highlight w:val="none"/>
        </w:rPr>
        <w:t>。</w:t>
      </w:r>
    </w:p>
    <w:p w14:paraId="6012AC60">
      <w:pPr>
        <w:shd w:val="clear" w:color="auto" w:fill="auto"/>
        <w:spacing w:line="360" w:lineRule="auto"/>
        <w:ind w:firstLine="420"/>
        <w:rPr>
          <w:rFonts w:ascii="宋体" w:hAnsi="宋体" w:cs="宋体"/>
          <w:color w:val="000000"/>
          <w:sz w:val="24"/>
          <w:szCs w:val="24"/>
          <w:highlight w:val="none"/>
        </w:rPr>
      </w:pPr>
      <w:bookmarkStart w:id="17" w:name="_Toc20823297"/>
      <w:bookmarkStart w:id="18" w:name="_Toc16938541"/>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、响应文件</w:t>
      </w:r>
      <w:bookmarkEnd w:id="17"/>
      <w:bookmarkEnd w:id="18"/>
      <w:r>
        <w:rPr>
          <w:rFonts w:hint="eastAsia" w:ascii="宋体" w:hAnsi="宋体" w:cs="宋体"/>
          <w:color w:val="000000"/>
          <w:sz w:val="24"/>
          <w:szCs w:val="24"/>
          <w:highlight w:val="none"/>
        </w:rPr>
        <w:t>的递交</w:t>
      </w:r>
    </w:p>
    <w:p w14:paraId="7D96DE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.1 电子响应文件的递交供应商</w:t>
      </w:r>
      <w:r>
        <w:rPr>
          <w:rFonts w:hint="eastAsia" w:ascii="宋体" w:hAnsi="宋体" w:cs="宋体"/>
          <w:color w:val="000000"/>
          <w:sz w:val="24"/>
          <w:szCs w:val="24"/>
          <w:highlight w:val="none"/>
          <w:lang w:eastAsia="zh-CN"/>
        </w:rPr>
        <w:t>在提交纸质标书时同步提交</w:t>
      </w:r>
      <w:r>
        <w:rPr>
          <w:rFonts w:hint="eastAsia" w:ascii="宋体" w:hAnsi="宋体" w:cs="宋体"/>
          <w:color w:val="000000"/>
          <w:sz w:val="24"/>
          <w:szCs w:val="24"/>
          <w:highlight w:val="none"/>
        </w:rPr>
        <w:t>。</w:t>
      </w:r>
      <w:bookmarkStart w:id="19" w:name="_Toc20823298"/>
      <w:bookmarkStart w:id="20" w:name="_Toc16938542"/>
    </w:p>
    <w:p w14:paraId="0E2C24F8">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供应商应当对采购文件提出的要求和条件作出实质性响应，并在电子投标系统逐条应答。</w:t>
      </w:r>
    </w:p>
    <w:bookmarkEnd w:id="19"/>
    <w:bookmarkEnd w:id="20"/>
    <w:p w14:paraId="2289AA6A">
      <w:pPr>
        <w:shd w:val="clear" w:color="auto" w:fill="auto"/>
        <w:spacing w:line="360" w:lineRule="auto"/>
        <w:ind w:firstLine="420"/>
        <w:rPr>
          <w:rFonts w:ascii="宋体" w:hAnsi="宋体" w:cs="宋体"/>
          <w:color w:val="000000"/>
          <w:sz w:val="24"/>
          <w:szCs w:val="24"/>
          <w:highlight w:val="none"/>
        </w:rPr>
      </w:pPr>
      <w:bookmarkStart w:id="21" w:name="_Toc20823299"/>
      <w:bookmarkStart w:id="22" w:name="_Toc16938543"/>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、响应文件</w:t>
      </w:r>
      <w:bookmarkEnd w:id="21"/>
      <w:bookmarkEnd w:id="22"/>
      <w:r>
        <w:rPr>
          <w:rFonts w:hint="eastAsia" w:ascii="宋体" w:hAnsi="宋体" w:cs="宋体"/>
          <w:color w:val="000000"/>
          <w:sz w:val="24"/>
          <w:szCs w:val="24"/>
          <w:highlight w:val="none"/>
        </w:rPr>
        <w:t>的拒收</w:t>
      </w:r>
    </w:p>
    <w:p w14:paraId="325752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拒绝接收在其规定的磋商截止时间后</w:t>
      </w:r>
      <w:r>
        <w:rPr>
          <w:rFonts w:hint="eastAsia" w:ascii="宋体" w:hAnsi="宋体" w:cs="宋体"/>
          <w:color w:val="000000"/>
          <w:sz w:val="24"/>
          <w:szCs w:val="24"/>
          <w:highlight w:val="none"/>
          <w:lang w:eastAsia="zh-CN"/>
        </w:rPr>
        <w:t>提价</w:t>
      </w:r>
      <w:r>
        <w:rPr>
          <w:rFonts w:hint="eastAsia" w:ascii="宋体" w:hAnsi="宋体" w:cs="宋体"/>
          <w:color w:val="000000"/>
          <w:sz w:val="24"/>
          <w:szCs w:val="24"/>
          <w:highlight w:val="none"/>
        </w:rPr>
        <w:t>的任何响应文件。</w:t>
      </w:r>
    </w:p>
    <w:p w14:paraId="553AC6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、磋商</w:t>
      </w:r>
    </w:p>
    <w:p w14:paraId="1C93DD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在采购公告中规定的时间和地点组织磋商开始仪式。供应商应当按照</w:t>
      </w:r>
      <w:r>
        <w:rPr>
          <w:rFonts w:hint="eastAsia" w:ascii="宋体" w:hAnsi="宋体" w:cs="宋体"/>
          <w:color w:val="000000"/>
          <w:sz w:val="24"/>
          <w:szCs w:val="24"/>
          <w:highlight w:val="none"/>
          <w:lang w:eastAsia="zh-CN"/>
        </w:rPr>
        <w:t>文件</w:t>
      </w:r>
      <w:r>
        <w:rPr>
          <w:rFonts w:hint="eastAsia" w:ascii="宋体" w:hAnsi="宋体" w:cs="宋体"/>
          <w:color w:val="000000"/>
          <w:sz w:val="24"/>
          <w:szCs w:val="24"/>
          <w:highlight w:val="none"/>
        </w:rPr>
        <w:t>规定，参加磋商活动。</w:t>
      </w:r>
    </w:p>
    <w:p w14:paraId="6286FDD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、磋商小组</w:t>
      </w:r>
    </w:p>
    <w:p w14:paraId="307264F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.1磋商开始后，</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将立即组织磋商小组进行评审。</w:t>
      </w:r>
    </w:p>
    <w:p w14:paraId="563E45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.2磋商小组由</w:t>
      </w:r>
      <w:r>
        <w:rPr>
          <w:rFonts w:hint="eastAsia" w:ascii="宋体" w:hAnsi="宋体" w:cs="宋体"/>
          <w:color w:val="000000"/>
          <w:sz w:val="24"/>
          <w:szCs w:val="24"/>
          <w:highlight w:val="none"/>
          <w:lang w:eastAsia="zh-CN"/>
        </w:rPr>
        <w:t>需求科室</w:t>
      </w:r>
      <w:r>
        <w:rPr>
          <w:rFonts w:hint="eastAsia" w:ascii="宋体" w:hAnsi="宋体" w:cs="宋体"/>
          <w:color w:val="000000"/>
          <w:sz w:val="24"/>
          <w:szCs w:val="24"/>
          <w:highlight w:val="none"/>
        </w:rPr>
        <w:t>代表和有关技术、经济等方面的专家组成，</w:t>
      </w:r>
      <w:r>
        <w:rPr>
          <w:rFonts w:hint="eastAsia" w:ascii="宋体" w:hAnsi="宋体" w:cs="宋体"/>
          <w:color w:val="000000"/>
          <w:sz w:val="24"/>
          <w:szCs w:val="24"/>
          <w:highlight w:val="none"/>
          <w:lang w:eastAsia="zh-CN"/>
        </w:rPr>
        <w:t>不少于</w:t>
      </w:r>
      <w:r>
        <w:rPr>
          <w:rFonts w:hint="eastAsia" w:ascii="宋体" w:hAnsi="宋体" w:cs="宋体"/>
          <w:color w:val="000000"/>
          <w:sz w:val="24"/>
          <w:szCs w:val="24"/>
          <w:highlight w:val="none"/>
          <w:lang w:val="en-US" w:eastAsia="zh-CN"/>
        </w:rPr>
        <w:t>5人</w:t>
      </w:r>
      <w:r>
        <w:rPr>
          <w:rFonts w:hint="eastAsia" w:ascii="宋体" w:hAnsi="宋体" w:cs="宋体"/>
          <w:color w:val="000000"/>
          <w:sz w:val="24"/>
          <w:szCs w:val="24"/>
          <w:highlight w:val="none"/>
        </w:rPr>
        <w:t>。</w:t>
      </w:r>
    </w:p>
    <w:p w14:paraId="483C1CB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.3磋商小组独立工作，负责评审有效响应文件并确定成交候选供应商。</w:t>
      </w:r>
    </w:p>
    <w:p w14:paraId="6947ED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、评审过程的保密与公正</w:t>
      </w:r>
    </w:p>
    <w:p w14:paraId="11BEA6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.1评审专家应当遵守评审工作纪律，不得泄露评审情况和评审中获悉的商业秘密。</w:t>
      </w:r>
    </w:p>
    <w:p w14:paraId="46D7D4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.2在评审过程中，供应商不得以任何行为影响评审过程，否则其响应文件将被作为无效响应文件。</w:t>
      </w:r>
    </w:p>
    <w:p w14:paraId="29A59D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.3 在评审期间，代理机构将设专门工作人员与供应商联系。</w:t>
      </w:r>
    </w:p>
    <w:p w14:paraId="178EBA4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 xml:space="preserve">.4 </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代理机构和磋商小组不向未成交的供应商解释未成交原因，也不公布评审过程中的相关细节。</w:t>
      </w:r>
    </w:p>
    <w:p w14:paraId="0BAD34A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、磋商的澄清</w:t>
      </w:r>
    </w:p>
    <w:p w14:paraId="48628AA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.1评审期间，磋商小组要求供应商澄清、说明或者更正响应文件以电子函件形式提交但并非对每个供应商都作澄清要求。</w:t>
      </w:r>
    </w:p>
    <w:p w14:paraId="7C4293D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.2接到磋商小组澄清要求的供应商应按磋商小组规定的时间和格式</w:t>
      </w:r>
      <w:r>
        <w:rPr>
          <w:rFonts w:hint="eastAsia" w:ascii="宋体" w:hAnsi="宋体" w:cs="宋体"/>
          <w:color w:val="000000"/>
          <w:sz w:val="24"/>
          <w:szCs w:val="24"/>
          <w:highlight w:val="none"/>
          <w:lang w:eastAsia="zh-CN"/>
        </w:rPr>
        <w:t>提交</w:t>
      </w:r>
      <w:r>
        <w:rPr>
          <w:rFonts w:hint="eastAsia" w:ascii="宋体" w:hAnsi="宋体" w:cs="宋体"/>
          <w:color w:val="000000"/>
          <w:sz w:val="24"/>
          <w:szCs w:val="24"/>
          <w:highlight w:val="none"/>
        </w:rPr>
        <w:t>澄清内容响应文件</w:t>
      </w:r>
      <w:r>
        <w:rPr>
          <w:rFonts w:hint="eastAsia" w:ascii="宋体" w:hAnsi="宋体" w:cs="宋体"/>
          <w:color w:val="000000"/>
          <w:sz w:val="24"/>
          <w:szCs w:val="24"/>
          <w:highlight w:val="none"/>
          <w:lang w:eastAsia="zh-CN"/>
        </w:rPr>
        <w:t>，并发送至医学装备部邮箱</w:t>
      </w:r>
      <w:r>
        <w:rPr>
          <w:rFonts w:hint="eastAsia" w:ascii="宋体" w:hAnsi="宋体" w:cs="宋体"/>
          <w:color w:val="000000"/>
          <w:sz w:val="24"/>
          <w:szCs w:val="24"/>
          <w:highlight w:val="none"/>
        </w:rPr>
        <w:t>。</w:t>
      </w:r>
    </w:p>
    <w:p w14:paraId="0CDAC8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.3 接到磋商小组澄清要求的供应商如未按规定做出澄清，其风险由供应商自行承担。</w:t>
      </w:r>
    </w:p>
    <w:p w14:paraId="48AE64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、对响应文件的初审</w:t>
      </w:r>
    </w:p>
    <w:p w14:paraId="5485E8E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.1响应文件初审分为资格审查和符合性审查。</w:t>
      </w:r>
    </w:p>
    <w:p w14:paraId="65BB96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.1.1资格审查：依据法律法规和采购文件的规定，对响应文件中的资格证明文件进行审查。以确定供应商是否具备参加磋商的资格。</w:t>
      </w:r>
    </w:p>
    <w:p w14:paraId="7AA90B1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.1.2符合性检查：依据采购文件的规定，由磋商小组从响应文件的有效性、完整性和对采购文件的响应程度进行审查，以确定是否对采购文件的实质性要求作出响应。</w:t>
      </w:r>
    </w:p>
    <w:p w14:paraId="0C6AED3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.1.3 未通过资格审查或符合性审查的供应商，</w:t>
      </w:r>
      <w:r>
        <w:rPr>
          <w:rFonts w:hint="eastAsia" w:ascii="宋体" w:hAnsi="宋体" w:cs="宋体"/>
          <w:color w:val="000000"/>
          <w:sz w:val="24"/>
          <w:szCs w:val="24"/>
          <w:highlight w:val="none"/>
          <w:lang w:val="en-US" w:eastAsia="zh-CN"/>
        </w:rPr>
        <w:t>采购人将现场</w:t>
      </w:r>
      <w:r>
        <w:rPr>
          <w:rFonts w:hint="eastAsia" w:ascii="宋体" w:hAnsi="宋体" w:cs="宋体"/>
          <w:color w:val="000000"/>
          <w:sz w:val="24"/>
          <w:szCs w:val="24"/>
          <w:highlight w:val="none"/>
        </w:rPr>
        <w:t>告知未通过资格审查或符合性审查的原因，评审结束后，代理机构将不再告知未通过资格审查或符合性审查的原因。</w:t>
      </w:r>
    </w:p>
    <w:p w14:paraId="6D4F05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.2在详细评审之前，磋商小组将首先审查每份响应文件是否实质性响应了采购文件的要求。实质性响应的响应文件应该是与采购文件要求的全部条款、条件和规格相符，没有重大偏离或保留。</w:t>
      </w:r>
    </w:p>
    <w:p w14:paraId="68E603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所谓重大偏离或保留是指与采购文件规定的实质性要求存在负偏离，或者在实质上与采购文件不一致，而且限制了合同中买方（采购人）的权利或供应商的义务，纠正这些偏离或保留将会对其他实质性响应要求的供应商的竞争地位产生不公正的影响。是否属于重大偏离由磋商小组按照少数服从多数的原则作出结论。磋商小组决定响应文件的响应性只根据响应文件本身的内容，而不寻求外部的证据。</w:t>
      </w:r>
    </w:p>
    <w:p w14:paraId="2975512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.3如果响应文件实质上没有响应采购文件的要求，磋商小组将予以拒绝，供应商不得通过修改或撤销不合要求的偏离或保留而使其响应文件成为实质性响应的文件。</w:t>
      </w:r>
    </w:p>
    <w:p w14:paraId="425475F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.4 供应商在开、评标全过程中应保持通讯畅通，并安排专人与代理机构及磋商小组联系。</w:t>
      </w:r>
    </w:p>
    <w:p w14:paraId="29AED7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、磋商程序及评审方法和标准</w:t>
      </w:r>
    </w:p>
    <w:p w14:paraId="068D283F">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.1磋商程序</w:t>
      </w:r>
    </w:p>
    <w:p w14:paraId="2391AF5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.1.1 对于通过资格性和符合性审查的供应商，磋商小组所有成员将集中与单一供应商分别进行磋商。</w:t>
      </w:r>
    </w:p>
    <w:p w14:paraId="4954E5A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在磋商过程中，磋商小组可能根据磋商文件和磋商情况实质性变动的内容有：采购需求中的技术、服务要求以及合同草案条款。对磋商文件作出的实质性变动是磋商文件的有效组成部分，磋商小组</w:t>
      </w:r>
      <w:r>
        <w:rPr>
          <w:rFonts w:hint="eastAsia" w:ascii="宋体" w:hAnsi="宋体" w:cs="宋体"/>
          <w:color w:val="000000"/>
          <w:sz w:val="24"/>
          <w:szCs w:val="24"/>
          <w:highlight w:val="none"/>
          <w:lang w:eastAsia="zh-CN"/>
        </w:rPr>
        <w:t>现场</w:t>
      </w:r>
      <w:r>
        <w:rPr>
          <w:rFonts w:hint="eastAsia" w:ascii="宋体" w:hAnsi="宋体" w:cs="宋体"/>
          <w:color w:val="000000"/>
          <w:sz w:val="24"/>
          <w:szCs w:val="24"/>
          <w:highlight w:val="none"/>
        </w:rPr>
        <w:t>通知所有参加磋商的供应商。供应商应当按照磋商文件的变动情况和磋商小组的要求重新提交响应文件，并加盖电子签章。</w:t>
      </w:r>
    </w:p>
    <w:p w14:paraId="5C3B38C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.1.2 采购文件能够详细列明采购标的的技术、服务要求的，磋商结束后，磋商小组将要求所有实质性响应的供应商在规定时间内提交最后报价。</w:t>
      </w:r>
    </w:p>
    <w:p w14:paraId="51CE0E2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不能详细列明采购标的的技术、服务要求，需经磋商由供应商提供最终设计方案或解决方案的，磋商结束后，磋商小组将按照少数服从多数的原则投票推荐3家以上供应商的设计方案或者解决方案，并要求其在规定时间内提交最后报价。</w:t>
      </w:r>
    </w:p>
    <w:p w14:paraId="2A53E184">
      <w:pPr>
        <w:shd w:val="clear" w:color="auto" w:fill="auto"/>
        <w:spacing w:line="360" w:lineRule="auto"/>
        <w:ind w:firstLine="420"/>
        <w:rPr>
          <w:rFonts w:hint="eastAsia" w:ascii="宋体" w:hAnsi="宋体" w:cs="宋体"/>
          <w:b/>
          <w:bCs/>
          <w:i/>
          <w:iCs/>
          <w:color w:val="000000"/>
          <w:sz w:val="24"/>
          <w:szCs w:val="24"/>
          <w:highlight w:val="none"/>
        </w:rPr>
      </w:pPr>
      <w:r>
        <w:rPr>
          <w:rFonts w:hint="eastAsia" w:ascii="宋体" w:hAnsi="宋体" w:cs="宋体"/>
          <w:b/>
          <w:bCs/>
          <w:i/>
          <w:iCs/>
          <w:color w:val="000000"/>
          <w:sz w:val="24"/>
          <w:szCs w:val="24"/>
          <w:highlight w:val="none"/>
        </w:rPr>
        <w:t>2</w:t>
      </w:r>
      <w:r>
        <w:rPr>
          <w:rFonts w:hint="eastAsia" w:ascii="宋体" w:hAnsi="宋体" w:cs="宋体"/>
          <w:b/>
          <w:bCs/>
          <w:i/>
          <w:iCs/>
          <w:color w:val="000000"/>
          <w:sz w:val="24"/>
          <w:szCs w:val="24"/>
          <w:highlight w:val="none"/>
          <w:lang w:val="en-US" w:eastAsia="zh-CN"/>
        </w:rPr>
        <w:t>1</w:t>
      </w:r>
      <w:r>
        <w:rPr>
          <w:rFonts w:hint="eastAsia" w:ascii="宋体" w:hAnsi="宋体" w:cs="宋体"/>
          <w:b/>
          <w:bCs/>
          <w:i/>
          <w:iCs/>
          <w:color w:val="000000"/>
          <w:sz w:val="24"/>
          <w:szCs w:val="24"/>
          <w:highlight w:val="none"/>
        </w:rPr>
        <w:t>.1.3 供应商未在磋商小组规定的时间内完成最后报价的视为放弃磋商，其响应按无效响应</w:t>
      </w:r>
      <w:r>
        <w:rPr>
          <w:rFonts w:hint="eastAsia" w:ascii="宋体" w:hAnsi="宋体" w:cs="宋体"/>
          <w:b/>
          <w:bCs/>
          <w:i/>
          <w:iCs/>
          <w:color w:val="000000"/>
          <w:sz w:val="24"/>
          <w:szCs w:val="24"/>
          <w:highlight w:val="none"/>
          <w:lang w:val="en-US" w:eastAsia="zh-CN"/>
        </w:rPr>
        <w:t>文件</w:t>
      </w:r>
      <w:r>
        <w:rPr>
          <w:rFonts w:hint="eastAsia" w:ascii="宋体" w:hAnsi="宋体" w:cs="宋体"/>
          <w:b/>
          <w:bCs/>
          <w:i/>
          <w:iCs/>
          <w:color w:val="000000"/>
          <w:sz w:val="24"/>
          <w:szCs w:val="24"/>
          <w:highlight w:val="none"/>
        </w:rPr>
        <w:t>处理。最后报价</w:t>
      </w:r>
      <w:r>
        <w:rPr>
          <w:rFonts w:hint="eastAsia" w:ascii="宋体" w:hAnsi="宋体" w:cs="宋体"/>
          <w:b/>
          <w:bCs/>
          <w:i/>
          <w:iCs/>
          <w:color w:val="000000"/>
          <w:sz w:val="24"/>
          <w:szCs w:val="24"/>
          <w:highlight w:val="none"/>
          <w:lang w:eastAsia="zh-CN"/>
        </w:rPr>
        <w:t>已投标人签字即为有效</w:t>
      </w:r>
      <w:r>
        <w:rPr>
          <w:rFonts w:hint="eastAsia" w:ascii="宋体" w:hAnsi="宋体" w:cs="宋体"/>
          <w:b/>
          <w:bCs/>
          <w:i/>
          <w:iCs/>
          <w:color w:val="000000"/>
          <w:sz w:val="24"/>
          <w:szCs w:val="24"/>
          <w:highlight w:val="none"/>
        </w:rPr>
        <w:t>。已提交响应文件的供应商，在提交最后报价之前，可以根据磋商情况退出磋商。</w:t>
      </w:r>
    </w:p>
    <w:p w14:paraId="3C1B4543">
      <w:pPr>
        <w:spacing w:line="360" w:lineRule="auto"/>
        <w:ind w:firstLine="482" w:firstLineChars="200"/>
        <w:rPr>
          <w:rFonts w:hint="eastAsia" w:ascii="宋体" w:hAnsi="宋体" w:cs="宋体"/>
          <w:b/>
          <w:bCs/>
          <w:i/>
          <w:iCs/>
          <w:color w:val="000000"/>
          <w:sz w:val="24"/>
          <w:szCs w:val="24"/>
          <w:highlight w:val="none"/>
        </w:rPr>
      </w:pPr>
      <w:r>
        <w:rPr>
          <w:rFonts w:hint="eastAsia" w:ascii="宋体" w:hAnsi="宋体"/>
          <w:b/>
          <w:bCs/>
          <w:i/>
          <w:iCs/>
          <w:color w:val="auto"/>
          <w:sz w:val="24"/>
          <w:szCs w:val="24"/>
          <w:highlight w:val="none"/>
          <w:lang w:val="en-US" w:eastAsia="zh-CN"/>
        </w:rPr>
        <w:t>21.1.4在采购内容和采购需求不变的情况下，供应商次轮报价及最后报价均不得高于首轮报价，否则作无效标处理。供应商分项报价按首轮报价与最终报价调整比例进行同比调整。</w:t>
      </w:r>
    </w:p>
    <w:p w14:paraId="7682CD05">
      <w:pPr>
        <w:shd w:val="clear" w:color="auto" w:fill="auto"/>
        <w:spacing w:line="360" w:lineRule="auto"/>
        <w:ind w:firstLine="420"/>
        <w:rPr>
          <w:rFonts w:hint="eastAsia" w:ascii="宋体" w:hAnsi="宋体" w:cs="宋体"/>
          <w:b/>
          <w:bCs/>
          <w:i/>
          <w:iCs/>
          <w:color w:val="000000"/>
          <w:sz w:val="24"/>
          <w:szCs w:val="24"/>
          <w:highlight w:val="none"/>
          <w:lang w:val="en-US" w:eastAsia="zh-CN"/>
        </w:rPr>
      </w:pPr>
      <w:r>
        <w:rPr>
          <w:rFonts w:hint="eastAsia" w:ascii="宋体" w:hAnsi="宋体" w:cs="宋体"/>
          <w:b/>
          <w:bCs/>
          <w:i/>
          <w:iCs/>
          <w:color w:val="000000"/>
          <w:sz w:val="24"/>
          <w:szCs w:val="24"/>
          <w:highlight w:val="none"/>
          <w:lang w:val="en-US" w:eastAsia="zh-CN"/>
        </w:rPr>
        <w:t>21.1.5根据财库〔2026〕2号文件，评审委员会启动异常低价投标审查的情形和具体要求，包括：</w:t>
      </w:r>
    </w:p>
    <w:p w14:paraId="0D1681CE">
      <w:pPr>
        <w:shd w:val="clear" w:color="auto" w:fill="auto"/>
        <w:spacing w:line="360" w:lineRule="auto"/>
        <w:ind w:firstLine="420"/>
        <w:rPr>
          <w:rFonts w:hint="eastAsia" w:ascii="宋体" w:hAnsi="宋体" w:eastAsia="Times New Roman" w:cs="Times New Roman"/>
          <w:b/>
          <w:bCs/>
          <w:i/>
          <w:iCs/>
          <w:color w:val="auto"/>
          <w:sz w:val="24"/>
          <w:szCs w:val="24"/>
          <w:highlight w:val="none"/>
          <w:lang w:val="en-US" w:eastAsia="zh-CN"/>
        </w:rPr>
      </w:pPr>
      <w:r>
        <w:rPr>
          <w:rFonts w:hint="eastAsia" w:ascii="宋体" w:hAnsi="宋体" w:cs="宋体"/>
          <w:b/>
          <w:bCs/>
          <w:i/>
          <w:iCs/>
          <w:color w:val="000000"/>
          <w:sz w:val="24"/>
          <w:szCs w:val="24"/>
          <w:highlight w:val="none"/>
          <w:lang w:val="en-US" w:eastAsia="zh-CN"/>
        </w:rPr>
        <w:t>（一）1.投标（响应）报价低于全部通过符合性审查供应商投标（响应）报价平均值50%的，即投标（响</w:t>
      </w:r>
      <w:r>
        <w:rPr>
          <w:rFonts w:hint="eastAsia" w:ascii="宋体" w:hAnsi="宋体" w:eastAsia="Times New Roman" w:cs="Times New Roman"/>
          <w:b/>
          <w:bCs/>
          <w:i/>
          <w:iCs/>
          <w:color w:val="auto"/>
          <w:sz w:val="24"/>
          <w:szCs w:val="24"/>
          <w:highlight w:val="none"/>
          <w:lang w:val="en-US" w:eastAsia="zh-CN"/>
        </w:rPr>
        <w:t>应）报价&lt;全部通过符合性审查供应商投标（响应）报价平均值×50%；</w:t>
      </w:r>
    </w:p>
    <w:p w14:paraId="73C86FD2">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53DFFBF5">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3.投标（响应）报价低于采购项目最高限价45%的，即投标（响应）报价&lt;采购项目最高限价×45%；</w:t>
      </w:r>
    </w:p>
    <w:p w14:paraId="141CEADE">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4.评审委员会基于专业判断，认为供应商报价过低，有可能影响产品质量或者不能诚信履约的其他情形。</w:t>
      </w:r>
    </w:p>
    <w:p w14:paraId="400B9E34">
      <w:pPr>
        <w:spacing w:line="500" w:lineRule="exact"/>
        <w:ind w:firstLine="480" w:firstLineChars="200"/>
        <w:rPr>
          <w:rFonts w:hint="eastAsia" w:ascii="宋体" w:hAnsi="宋体" w:eastAsia="Times New Roman" w:cs="Times New Roman"/>
          <w:b/>
          <w:bCs/>
          <w:i/>
          <w:iCs/>
          <w:color w:val="FF0000"/>
          <w:sz w:val="24"/>
          <w:szCs w:val="24"/>
          <w:highlight w:val="none"/>
          <w:lang w:val="en-US" w:eastAsia="zh-CN"/>
        </w:rPr>
      </w:pPr>
      <w:r>
        <w:rPr>
          <w:rFonts w:hint="eastAsia" w:ascii="宋体" w:hAnsi="宋体" w:eastAsia="Times New Roman" w:cs="Times New Roman"/>
          <w:b/>
          <w:bCs/>
          <w:i/>
          <w:iCs/>
          <w:color w:val="FF0000"/>
          <w:sz w:val="24"/>
          <w:szCs w:val="24"/>
          <w:highlight w:val="none"/>
          <w:lang w:val="en-US" w:eastAsia="zh-CN"/>
        </w:rPr>
        <w:t>提醒：采购人可以结合具体项目实际情况，提高上述第1项至第3项中启动异常低价投标（响应）审查的数值标准，但是最高不得超过65%。相关法律法规对供应商报价有规定的，从其规定。</w:t>
      </w:r>
    </w:p>
    <w:p w14:paraId="3807270A">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（二）评审委员会启动异常低价响应审查后，属于前述第1项至第4项情形的，</w:t>
      </w:r>
      <w:r>
        <w:rPr>
          <w:rFonts w:hint="eastAsia" w:ascii="宋体" w:hAnsi="宋体" w:eastAsia="Times New Roman" w:cs="Times New Roman"/>
          <w:b/>
          <w:bCs/>
          <w:i/>
          <w:iCs/>
          <w:color w:val="auto"/>
          <w:sz w:val="24"/>
          <w:szCs w:val="24"/>
          <w:highlight w:val="none"/>
          <w:lang w:val="en-US" w:eastAsia="zh-CN"/>
        </w:rPr>
        <w:t>相关供应商在30分钟内对响应价格作出解释</w:t>
      </w:r>
      <w:r>
        <w:rPr>
          <w:rFonts w:hint="eastAsia" w:ascii="宋体" w:hAnsi="宋体" w:eastAsia="Times New Roman" w:cs="Times New Roman"/>
          <w:i/>
          <w:iCs/>
          <w:color w:val="auto"/>
          <w:sz w:val="24"/>
          <w:szCs w:val="24"/>
          <w:highlight w:val="none"/>
          <w:lang w:val="en-US" w:eastAsia="zh-CN"/>
        </w:rPr>
        <w:t>，</w:t>
      </w:r>
      <w:r>
        <w:rPr>
          <w:rFonts w:hint="eastAsia" w:ascii="宋体" w:hAnsi="宋体" w:eastAsia="Times New Roman" w:cs="Times New Roman"/>
          <w:color w:val="auto"/>
          <w:sz w:val="24"/>
          <w:szCs w:val="24"/>
          <w:highlight w:val="none"/>
          <w:lang w:val="en-US" w:eastAsia="zh-CN"/>
        </w:rPr>
        <w:t>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60D500BF">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评审委员会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29A09563">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采购人应当为评审委员会在评审现场及时获取同类项目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2B3E4C5">
      <w:pPr>
        <w:spacing w:line="500" w:lineRule="exact"/>
        <w:ind w:firstLine="480" w:firstLineChars="200"/>
        <w:rPr>
          <w:rFonts w:hint="eastAsia" w:ascii="宋体" w:hAnsi="宋体" w:eastAsia="宋体" w:cs="宋体"/>
          <w:b/>
          <w:bCs/>
          <w:i/>
          <w:iCs/>
          <w:color w:val="000000"/>
          <w:sz w:val="24"/>
          <w:szCs w:val="24"/>
          <w:highlight w:val="none"/>
          <w:u w:val="single"/>
          <w:lang w:val="en-US" w:eastAsia="zh-CN"/>
        </w:rPr>
      </w:pPr>
      <w:r>
        <w:rPr>
          <w:rFonts w:hint="eastAsia" w:ascii="宋体" w:hAnsi="宋体" w:eastAsia="Times New Roman" w:cs="Times New Roman"/>
          <w:color w:val="auto"/>
          <w:sz w:val="24"/>
          <w:szCs w:val="24"/>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40B1EC6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评审方法和标准</w:t>
      </w:r>
    </w:p>
    <w:p w14:paraId="29EB05C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.2.1评审方法。经磋商确定最终采购需求和提交最后报价的供应商后，由磋商小组采用综合评分法对提交最后报价的供应商的响应文件和最后报价进行综合评分。</w:t>
      </w:r>
    </w:p>
    <w:p w14:paraId="34A161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综合评分法，是指响应文件满足磋商文件全部实质性要求且按评审因素的量化指标评审得分最高的供应商为成交候选供应商的评审方法。评审时，磋商小组各成员独立对每个有效响应的文件进行评价、打分，然后汇总每个供应商每项评分因素的得分。</w:t>
      </w:r>
    </w:p>
    <w:p w14:paraId="6772477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.2.2评审标准</w:t>
      </w:r>
    </w:p>
    <w:p w14:paraId="7CC8F96D">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见本采购文件第五章规定。</w:t>
      </w:r>
    </w:p>
    <w:p w14:paraId="232BBD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、无效响应及采购活动终止的情况</w:t>
      </w:r>
    </w:p>
    <w:p w14:paraId="5B7EFB8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.1无效响应条款</w:t>
      </w:r>
    </w:p>
    <w:p w14:paraId="40EE854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.1.1 供应商未按照采购文件要求</w:t>
      </w:r>
      <w:r>
        <w:rPr>
          <w:rFonts w:hint="eastAsia" w:ascii="宋体" w:hAnsi="宋体" w:cs="宋体"/>
          <w:color w:val="000000"/>
          <w:sz w:val="24"/>
          <w:szCs w:val="24"/>
          <w:highlight w:val="none"/>
          <w:lang w:eastAsia="zh-CN"/>
        </w:rPr>
        <w:t>提供</w:t>
      </w:r>
      <w:r>
        <w:rPr>
          <w:rFonts w:hint="eastAsia" w:ascii="宋体" w:hAnsi="宋体" w:cs="宋体"/>
          <w:color w:val="000000"/>
          <w:sz w:val="24"/>
          <w:szCs w:val="24"/>
          <w:highlight w:val="none"/>
        </w:rPr>
        <w:t>电子磋商响应文件的。</w:t>
      </w:r>
    </w:p>
    <w:p w14:paraId="446F30D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供应商不具备采购文件中规定资格要求的。</w:t>
      </w:r>
    </w:p>
    <w:p w14:paraId="380EE626">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 未通过符合性审查的。</w:t>
      </w:r>
    </w:p>
    <w:p w14:paraId="515689AC">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不符合采购文件中规定的其他实质性要求和条件的（</w:t>
      </w:r>
      <w:r>
        <w:rPr>
          <w:rFonts w:hint="eastAsia" w:ascii="宋体" w:hAnsi="宋体" w:cs="宋体"/>
          <w:i/>
          <w:color w:val="000000"/>
          <w:sz w:val="24"/>
          <w:szCs w:val="24"/>
          <w:highlight w:val="none"/>
          <w:u w:val="single"/>
        </w:rPr>
        <w:t>本采购文件中斜体且有下划线部分为实质性要求和条件）。</w:t>
      </w:r>
    </w:p>
    <w:p w14:paraId="6F07BFB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供应商被 “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5FB3CE0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 xml:space="preserve"> 响应文件未按照采购文件要求加盖签章。</w:t>
      </w:r>
    </w:p>
    <w:p w14:paraId="0BCB31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 xml:space="preserve"> 其他法律、法规及本采购文件规定的属无效响应的情形。</w:t>
      </w:r>
    </w:p>
    <w:p w14:paraId="0AF1C4B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 采购活动终止的情况：</w:t>
      </w:r>
    </w:p>
    <w:p w14:paraId="74E2D59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.2.1 因情况变化，不再符合规定的竞争性磋商采购方式适用情形的；</w:t>
      </w:r>
    </w:p>
    <w:p w14:paraId="2914700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.2.2 出现影响采购公正的违法、违规行为的；</w:t>
      </w:r>
    </w:p>
    <w:p w14:paraId="04657F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.2.3 除本磋商文件第26.1.2条第三款规定的情形外，在采购过程中符合要求的供应商或者报价未超过采购预算的供应商不足3家的。</w:t>
      </w:r>
    </w:p>
    <w:p w14:paraId="3072BDE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.2.4 因重大变故，采购任务取消的。</w:t>
      </w:r>
    </w:p>
    <w:p w14:paraId="7F01FC4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、确定成交单位</w:t>
      </w:r>
    </w:p>
    <w:p w14:paraId="7A8F553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.1 磋商小组根据综合评分情况，按照评审得分由高到低顺序推荐3名以上成交候选供应商。</w:t>
      </w:r>
    </w:p>
    <w:p w14:paraId="6871DA7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 采购人应根据磋商推荐的成交候选人，按照排序由高到低的原</w:t>
      </w:r>
      <w:r>
        <w:rPr>
          <w:rFonts w:hint="eastAsia" w:ascii="宋体" w:hAnsi="宋体" w:cs="宋体"/>
          <w:color w:val="000000"/>
          <w:sz w:val="24"/>
          <w:szCs w:val="24"/>
          <w:highlight w:val="none"/>
          <w:lang w:val="en-US" w:eastAsia="zh-CN"/>
        </w:rPr>
        <w:t>则</w:t>
      </w:r>
      <w:r>
        <w:rPr>
          <w:rFonts w:hint="eastAsia" w:ascii="宋体" w:hAnsi="宋体" w:cs="宋体"/>
          <w:color w:val="000000"/>
          <w:sz w:val="24"/>
          <w:szCs w:val="24"/>
          <w:highlight w:val="none"/>
        </w:rPr>
        <w:t>确定成交供应商，</w:t>
      </w:r>
      <w:r>
        <w:rPr>
          <w:rFonts w:hint="eastAsia" w:ascii="宋体" w:hAnsi="宋体" w:cs="宋体"/>
          <w:color w:val="000000"/>
          <w:sz w:val="24"/>
          <w:szCs w:val="24"/>
          <w:highlight w:val="none"/>
          <w:lang w:eastAsia="zh-CN"/>
        </w:rPr>
        <w:t>原则综合评分第一名为中标候选人，若因不可抗因素或厂家无法正常提供服务的情况下，进行顺位递补</w:t>
      </w:r>
      <w:r>
        <w:rPr>
          <w:rFonts w:hint="eastAsia" w:ascii="宋体" w:hAnsi="宋体" w:cs="宋体"/>
          <w:color w:val="000000"/>
          <w:sz w:val="24"/>
          <w:szCs w:val="24"/>
          <w:highlight w:val="none"/>
        </w:rPr>
        <w:t>。</w:t>
      </w:r>
    </w:p>
    <w:p w14:paraId="7F6FD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.3 </w:t>
      </w:r>
      <w:r>
        <w:rPr>
          <w:rFonts w:hint="eastAsia" w:ascii="宋体" w:hAnsi="宋体" w:cs="宋体"/>
          <w:color w:val="000000"/>
          <w:sz w:val="24"/>
          <w:szCs w:val="24"/>
          <w:highlight w:val="none"/>
          <w:lang w:eastAsia="zh-CN"/>
        </w:rPr>
        <w:t>医院</w:t>
      </w:r>
      <w:r>
        <w:rPr>
          <w:rFonts w:hint="eastAsia" w:ascii="宋体" w:hAnsi="宋体" w:cs="宋体"/>
          <w:color w:val="000000"/>
          <w:sz w:val="24"/>
          <w:szCs w:val="24"/>
          <w:highlight w:val="none"/>
        </w:rPr>
        <w:t>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发布成交公告，公告期限为1个工作日。</w:t>
      </w:r>
    </w:p>
    <w:p w14:paraId="3BBCEF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 若有充分证据证明，成交供应商出现下列情况之一的，一经查实，将被取消成交资格：</w:t>
      </w:r>
    </w:p>
    <w:p w14:paraId="11D339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.4.1 提供虚假材料谋取成交的；</w:t>
      </w:r>
    </w:p>
    <w:p w14:paraId="752C610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.4.2 向采购人、</w:t>
      </w:r>
      <w:r>
        <w:rPr>
          <w:rFonts w:hint="eastAsia" w:ascii="宋体" w:hAnsi="宋体" w:cs="宋体"/>
          <w:color w:val="000000"/>
          <w:sz w:val="24"/>
          <w:szCs w:val="24"/>
          <w:highlight w:val="none"/>
          <w:lang w:eastAsia="zh-CN"/>
        </w:rPr>
        <w:t>需求科室贿赂</w:t>
      </w:r>
      <w:r>
        <w:rPr>
          <w:rFonts w:hint="eastAsia" w:ascii="宋体" w:hAnsi="宋体" w:cs="宋体"/>
          <w:color w:val="000000"/>
          <w:sz w:val="24"/>
          <w:szCs w:val="24"/>
          <w:highlight w:val="none"/>
        </w:rPr>
        <w:t>或者提供其他不正当利益的；</w:t>
      </w:r>
    </w:p>
    <w:p w14:paraId="1DC7071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.4.3 恶意竞争，最终总报价明显低于其自身合理成本且又无法提供证明的；</w:t>
      </w:r>
    </w:p>
    <w:p w14:paraId="1D29AE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.4.4 属于本文件规定的无效条件，但在评审过程中又未被磋商小组发现的；</w:t>
      </w:r>
    </w:p>
    <w:p w14:paraId="7B45FA3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.4.5 与采购人或者其他供应商恶意串通的；</w:t>
      </w:r>
    </w:p>
    <w:p w14:paraId="23425B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.4.6 采取不正当手段诋毁、排挤其他供应商的；</w:t>
      </w:r>
    </w:p>
    <w:p w14:paraId="48ABAD2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.4.7 不符合法律、法规的规定的。</w:t>
      </w:r>
    </w:p>
    <w:p w14:paraId="2282D82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、质疑与投诉</w:t>
      </w:r>
    </w:p>
    <w:p w14:paraId="450900E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24</w:t>
      </w:r>
      <w:r>
        <w:rPr>
          <w:rFonts w:hint="eastAsia" w:ascii="宋体" w:hAnsi="宋体" w:cs="宋体"/>
          <w:color w:val="000000"/>
          <w:sz w:val="24"/>
          <w:szCs w:val="24"/>
          <w:highlight w:val="none"/>
        </w:rPr>
        <w:t>.1提出质疑的供应商应当是参与所质疑项目采购活动的供应商。潜在供应商依法获取其可质疑的采购文件的，可以对采购文件提出质疑。</w:t>
      </w:r>
    </w:p>
    <w:p w14:paraId="3D6E07F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对项目需求部分的质疑，潜在供应商应向采购人提出，由采购人负责答复。</w:t>
      </w:r>
    </w:p>
    <w:p w14:paraId="7D4FFEF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.2供应商认为采购文件、采购过程和中标或成交结果使自己的权益受到损害的，可以在知道或应知其权益受到损害之日起7个工作日内，以书面形式向采购人或代理机构提出质疑。</w:t>
      </w:r>
    </w:p>
    <w:p w14:paraId="245E2C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.2.1对采购文件提出质疑的，应当在获取采购文件之日或者采购文件公告期限届满之日起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6A9569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.2.2对采购过程提出质疑的，为各采购程序环节结束之日起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124931E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.2.3对成交结果提出质疑的，为成交结果公告期限届满之日起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0E90F77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.3供应商应在法定质疑期内一次性提出针对同一采购程序环节的质疑。供应商如在法定期限内对同一采购程序环节提出多次质疑的，采购人将只对供应商第一次质疑作出答复。</w:t>
      </w:r>
    </w:p>
    <w:p w14:paraId="3407E0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4质疑函必须按照《质疑函范本》及《授权委托书》要求的格式和内容进行填写。供应商如组成联合体参加磋商，则《质疑函范本》及《授权委托书》中要求签字、盖章、加盖公章之处，联合体各方均须按要求签字、盖章、加盖公章。</w:t>
      </w:r>
    </w:p>
    <w:p w14:paraId="033BE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.5 采购人只接收以纸质原件形式送达的质疑。</w:t>
      </w:r>
    </w:p>
    <w:p w14:paraId="1615E18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采购人质疑接收人及联系方式见采购文件第一章。</w:t>
      </w:r>
    </w:p>
    <w:p w14:paraId="441F91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质疑人应当在法定质疑期限内进行补正并重新提交质疑函。</w:t>
      </w:r>
    </w:p>
    <w:p w14:paraId="0F6CFB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 xml:space="preserve"> 以下情形的质疑不予受理</w:t>
      </w:r>
    </w:p>
    <w:p w14:paraId="199BB4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内容不符合《政府采购质疑和投诉办法》第十二条规定的质疑。</w:t>
      </w:r>
    </w:p>
    <w:p w14:paraId="09FCEA9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 超出政府采购法定期限的质疑。</w:t>
      </w:r>
    </w:p>
    <w:p w14:paraId="7AC38C7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.3 以传真、电子邮件等方式递交的非原件形式的质疑。</w:t>
      </w:r>
    </w:p>
    <w:p w14:paraId="2BB726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.4 未参加磋商活动的供应商或在磋商活动中自身权益未受到损害的供应商所提出的质疑。</w:t>
      </w:r>
    </w:p>
    <w:p w14:paraId="1C1076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.5供应商组成联合体参加磋商，联合体中任何一方或多方未按要求签字、盖章、加盖公章的质疑。</w:t>
      </w:r>
    </w:p>
    <w:p w14:paraId="18321F3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 xml:space="preserve"> 供应商提出书面质疑必须有理、有据，不得捏造事实、提供虚假材料进行恶意质疑。否则，一经查实，代理机构有权依据政府采购的有关规定，报请政府采购监管部门对该供应商进行相应的行政处罚和记录该供应商的失信信息。 </w:t>
      </w:r>
    </w:p>
    <w:p w14:paraId="3DD73F65">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应当在收到供应商的书面质疑后7个工作日内作出答复，并以书面形式通知质疑供应商和其他有关供应商，但答复的内容不得涉及商业秘密。</w:t>
      </w:r>
    </w:p>
    <w:p w14:paraId="52999B0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0</w:t>
      </w:r>
      <w:r>
        <w:rPr>
          <w:rFonts w:hint="eastAsia" w:ascii="宋体" w:hAnsi="宋体" w:eastAsia="宋体" w:cs="宋体"/>
          <w:color w:val="000000"/>
          <w:sz w:val="24"/>
          <w:szCs w:val="24"/>
          <w:highlight w:val="none"/>
        </w:rPr>
        <w:t>质疑供应商对采购人的答复不满意，或者采购人未在规定时间内作出答复的，可以在答复期满后15个工作日内向</w:t>
      </w:r>
      <w:r>
        <w:rPr>
          <w:rFonts w:hint="eastAsia" w:ascii="宋体" w:hAnsi="宋体" w:cs="宋体"/>
          <w:color w:val="000000"/>
          <w:sz w:val="24"/>
          <w:szCs w:val="24"/>
          <w:highlight w:val="none"/>
          <w:lang w:eastAsia="zh-CN"/>
        </w:rPr>
        <w:t>医院纪委监察</w:t>
      </w:r>
      <w:r>
        <w:rPr>
          <w:rFonts w:hint="eastAsia" w:ascii="宋体" w:hAnsi="宋体" w:eastAsia="宋体" w:cs="宋体"/>
          <w:color w:val="000000"/>
          <w:sz w:val="24"/>
          <w:szCs w:val="24"/>
          <w:highlight w:val="none"/>
        </w:rPr>
        <w:t>提起投诉</w:t>
      </w:r>
      <w:r>
        <w:rPr>
          <w:rFonts w:hint="eastAsia" w:ascii="宋体" w:hAnsi="宋体" w:cs="宋体"/>
          <w:color w:val="000000"/>
          <w:sz w:val="24"/>
          <w:szCs w:val="24"/>
          <w:highlight w:val="none"/>
          <w:lang w:eastAsia="zh-CN"/>
        </w:rPr>
        <w:t>（院监察室电话：</w:t>
      </w:r>
      <w:r>
        <w:rPr>
          <w:rFonts w:hint="eastAsia" w:ascii="宋体" w:hAnsi="宋体" w:cs="宋体"/>
          <w:color w:val="000000"/>
          <w:sz w:val="24"/>
          <w:szCs w:val="24"/>
          <w:highlight w:val="none"/>
          <w:lang w:val="en-US" w:eastAsia="zh-CN"/>
        </w:rPr>
        <w:t>025-</w:t>
      </w:r>
      <w:r>
        <w:rPr>
          <w:rFonts w:hint="eastAsia" w:ascii="宋体" w:hAnsi="宋体" w:cs="宋体"/>
          <w:color w:val="000000"/>
          <w:sz w:val="24"/>
          <w:szCs w:val="24"/>
          <w:highlight w:val="none"/>
          <w:lang w:eastAsia="zh-CN"/>
        </w:rPr>
        <w:t>52087303）</w:t>
      </w:r>
      <w:r>
        <w:rPr>
          <w:rFonts w:hint="eastAsia" w:ascii="宋体" w:hAnsi="宋体" w:eastAsia="宋体" w:cs="宋体"/>
          <w:color w:val="000000"/>
          <w:sz w:val="24"/>
          <w:szCs w:val="24"/>
          <w:highlight w:val="none"/>
        </w:rPr>
        <w:t>。</w:t>
      </w:r>
    </w:p>
    <w:p w14:paraId="69DE702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 xml:space="preserve">供应商捏造事实、提供虚假材料或者以非法手段取得证明材料进行投诉的，由财政部门列入不良行为记录名单，禁止其1至3年内参加政府采购活动。 </w:t>
      </w:r>
    </w:p>
    <w:p w14:paraId="4FB3FE8A">
      <w:pPr>
        <w:pStyle w:val="13"/>
        <w:rPr>
          <w:sz w:val="24"/>
          <w:szCs w:val="24"/>
        </w:rPr>
      </w:pPr>
    </w:p>
    <w:p w14:paraId="2A8EE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签订合同</w:t>
      </w:r>
    </w:p>
    <w:p w14:paraId="0AB739D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.l成交供应商应在成交通知书发出之日起</w:t>
      </w:r>
      <w:r>
        <w:rPr>
          <w:rFonts w:hint="eastAsia" w:ascii="宋体" w:hAnsi="宋体" w:cs="宋体"/>
          <w:color w:val="000000"/>
          <w:sz w:val="24"/>
          <w:szCs w:val="24"/>
          <w:highlight w:val="none"/>
          <w:lang w:eastAsia="zh-CN"/>
        </w:rPr>
        <w:t>三十</w:t>
      </w:r>
      <w:r>
        <w:rPr>
          <w:rFonts w:hint="eastAsia" w:ascii="宋体" w:hAnsi="宋体" w:cs="宋体"/>
          <w:color w:val="000000"/>
          <w:sz w:val="24"/>
          <w:szCs w:val="24"/>
          <w:highlight w:val="none"/>
        </w:rPr>
        <w:t>日内，按照采购文件确定的事项与采购人签订政府采购合同。</w:t>
      </w:r>
    </w:p>
    <w:p w14:paraId="7275008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采购人不得向成交供应商提出任何不合理的要求作为签订合同的条件，不得与成交供应商私下订立背离合同实质性内容的协议。所签订的合同不得对采购文件确定事项和成交供应商响应文件作实质性修改。</w:t>
      </w:r>
    </w:p>
    <w:p w14:paraId="7FA78307">
      <w:pPr>
        <w:rPr>
          <w:rFonts w:hint="eastAsia" w:ascii="宋体" w:hAnsi="宋体" w:eastAsia="宋体" w:cs="宋体"/>
          <w:sz w:val="24"/>
          <w:szCs w:val="24"/>
        </w:rPr>
      </w:pPr>
      <w:bookmarkStart w:id="23" w:name="_Toc479757207"/>
      <w:bookmarkStart w:id="24" w:name="_Toc32340"/>
      <w:bookmarkStart w:id="25" w:name="_Toc120614221"/>
      <w:bookmarkStart w:id="26" w:name="_Toc26968"/>
      <w:bookmarkStart w:id="27" w:name="_Toc16938558"/>
      <w:bookmarkStart w:id="28" w:name="_Toc513029242"/>
      <w:bookmarkStart w:id="29" w:name="_Toc20823314"/>
      <w:bookmarkStart w:id="30" w:name="_Toc109304973"/>
      <w:r>
        <w:rPr>
          <w:rFonts w:hint="eastAsia" w:ascii="宋体" w:hAnsi="宋体" w:eastAsia="宋体" w:cs="宋体"/>
          <w:sz w:val="24"/>
          <w:szCs w:val="24"/>
        </w:rPr>
        <w:br w:type="page"/>
      </w:r>
    </w:p>
    <w:bookmarkEnd w:id="23"/>
    <w:bookmarkEnd w:id="24"/>
    <w:bookmarkEnd w:id="25"/>
    <w:bookmarkEnd w:id="26"/>
    <w:bookmarkEnd w:id="27"/>
    <w:bookmarkEnd w:id="28"/>
    <w:bookmarkEnd w:id="29"/>
    <w:p w14:paraId="0B380C02">
      <w:pPr>
        <w:pStyle w:val="2"/>
        <w:bidi w:val="0"/>
        <w:rPr>
          <w:rFonts w:hint="eastAsia"/>
        </w:rPr>
      </w:pPr>
      <w:bookmarkStart w:id="31" w:name="_Toc26570"/>
      <w:r>
        <w:rPr>
          <w:rFonts w:hint="eastAsia"/>
        </w:rPr>
        <w:t>第三章 合同条款及格式</w:t>
      </w:r>
      <w:bookmarkEnd w:id="30"/>
      <w:bookmarkEnd w:id="31"/>
    </w:p>
    <w:p w14:paraId="6013C7CE">
      <w:pPr>
        <w:jc w:val="center"/>
        <w:rPr>
          <w:rFonts w:hint="default" w:ascii="Times New Roman" w:hAnsi="Times New Roman" w:eastAsia="黑体" w:cs="Times New Roman"/>
          <w:b/>
          <w:bCs/>
          <w:color w:val="auto"/>
          <w:kern w:val="2"/>
          <w:sz w:val="32"/>
          <w:szCs w:val="32"/>
        </w:rPr>
      </w:pPr>
      <w:r>
        <w:rPr>
          <w:rFonts w:hint="default" w:ascii="Times New Roman" w:hAnsi="Times New Roman" w:eastAsia="黑体" w:cs="Times New Roman"/>
          <w:b/>
          <w:bCs/>
          <w:color w:val="auto"/>
          <w:kern w:val="2"/>
          <w:sz w:val="32"/>
          <w:szCs w:val="32"/>
        </w:rPr>
        <w:t>设备采购合同</w:t>
      </w:r>
    </w:p>
    <w:p w14:paraId="6070015C">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甲方：南京市江宁医院</w:t>
      </w:r>
    </w:p>
    <w:p w14:paraId="0F877BC4">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乙方：</w:t>
      </w:r>
    </w:p>
    <w:p w14:paraId="658A1427">
      <w:pPr>
        <w:spacing w:line="360" w:lineRule="auto"/>
        <w:jc w:val="right"/>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合同签署地点：南京市江宁医院湖山路院区</w:t>
      </w:r>
    </w:p>
    <w:p w14:paraId="18D0BED7">
      <w:pPr>
        <w:spacing w:line="360" w:lineRule="auto"/>
        <w:jc w:val="left"/>
        <w:rPr>
          <w:rFonts w:hint="default" w:ascii="Times New Roman" w:hAnsi="Times New Roman" w:eastAsia="宋体" w:cs="Times New Roman"/>
          <w:color w:val="auto"/>
          <w:kern w:val="2"/>
          <w:szCs w:val="21"/>
        </w:rPr>
      </w:pPr>
    </w:p>
    <w:p w14:paraId="30BC1D82">
      <w:pPr>
        <w:spacing w:line="360" w:lineRule="auto"/>
        <w:ind w:firstLine="420" w:firstLineChars="200"/>
        <w:rPr>
          <w:rFonts w:hint="default" w:ascii="Times New Roman" w:hAnsi="Times New Roman" w:eastAsia="宋体" w:cs="Times New Roman"/>
          <w:color w:val="auto"/>
          <w:kern w:val="2"/>
          <w:szCs w:val="21"/>
        </w:rPr>
      </w:pPr>
      <w:r>
        <w:rPr>
          <w:rFonts w:ascii="Times New Roman" w:hAnsi="Times New Roman"/>
          <w:color w:val="auto"/>
          <w:szCs w:val="21"/>
          <w:highlight w:val="none"/>
        </w:rPr>
        <w:t>为了</w:t>
      </w:r>
      <w:r>
        <w:rPr>
          <w:rFonts w:hint="eastAsia" w:ascii="Times New Roman" w:hAnsi="Times New Roman"/>
          <w:color w:val="auto"/>
          <w:szCs w:val="21"/>
          <w:highlight w:val="none"/>
        </w:rPr>
        <w:t>维护甲乙双方</w:t>
      </w:r>
      <w:r>
        <w:rPr>
          <w:rFonts w:ascii="Times New Roman" w:hAnsi="Times New Roman"/>
          <w:color w:val="auto"/>
          <w:szCs w:val="21"/>
          <w:highlight w:val="none"/>
        </w:rPr>
        <w:t>的合法权益，依据《中华人民共和国民法典》等有</w:t>
      </w:r>
      <w:r>
        <w:rPr>
          <w:rFonts w:hint="eastAsia" w:ascii="Times New Roman" w:hAnsi="Times New Roman"/>
          <w:color w:val="auto"/>
          <w:szCs w:val="21"/>
          <w:highlight w:val="none"/>
        </w:rPr>
        <w:t>关</w:t>
      </w:r>
      <w:r>
        <w:rPr>
          <w:rFonts w:ascii="Times New Roman" w:hAnsi="Times New Roman"/>
          <w:color w:val="auto"/>
          <w:szCs w:val="21"/>
          <w:highlight w:val="none"/>
        </w:rPr>
        <w:t>法律法规的规定，</w:t>
      </w:r>
      <w:r>
        <w:rPr>
          <w:rFonts w:hint="eastAsia"/>
          <w:color w:val="auto"/>
          <w:szCs w:val="21"/>
          <w:highlight w:val="none"/>
        </w:rPr>
        <w:t>以及采购项目（</w:t>
      </w:r>
      <w:r>
        <w:rPr>
          <w:rFonts w:hint="eastAsia"/>
          <w:color w:val="auto"/>
          <w:szCs w:val="21"/>
          <w:highlight w:val="none"/>
          <w:lang w:eastAsia="zh-CN"/>
        </w:rPr>
        <w:t>项目</w:t>
      </w:r>
      <w:r>
        <w:rPr>
          <w:rFonts w:hint="eastAsia"/>
          <w:color w:val="auto"/>
          <w:szCs w:val="21"/>
          <w:highlight w:val="none"/>
        </w:rPr>
        <w:t>编号：</w:t>
      </w:r>
      <w:r>
        <w:rPr>
          <w:rFonts w:hint="default" w:ascii="Times New Roman" w:hAnsi="Times New Roman" w:cs="Times New Roman"/>
          <w:color w:val="auto"/>
          <w:szCs w:val="21"/>
          <w:highlight w:val="none"/>
          <w:u w:val="single"/>
        </w:rPr>
        <w:t>JNYYYXZBBSBZC-</w:t>
      </w:r>
      <w:r>
        <w:rPr>
          <w:rFonts w:hint="eastAsia" w:ascii="Times New Roman" w:hAnsi="Times New Roman" w:cs="Times New Roman"/>
          <w:color w:val="auto"/>
          <w:szCs w:val="21"/>
          <w:highlight w:val="none"/>
          <w:u w:val="single"/>
          <w:lang w:val="en-US" w:eastAsia="zh-CN"/>
        </w:rPr>
        <w:t xml:space="preserve">20       </w:t>
      </w:r>
      <w:r>
        <w:rPr>
          <w:rFonts w:hint="eastAsia"/>
          <w:color w:val="auto"/>
          <w:szCs w:val="21"/>
          <w:highlight w:val="none"/>
        </w:rPr>
        <w:t>）《</w:t>
      </w:r>
      <w:r>
        <w:rPr>
          <w:rFonts w:hint="eastAsia"/>
          <w:color w:val="auto"/>
          <w:szCs w:val="21"/>
          <w:highlight w:val="none"/>
          <w:lang w:eastAsia="zh-CN"/>
        </w:rPr>
        <w:t>磋商</w:t>
      </w:r>
      <w:r>
        <w:rPr>
          <w:rFonts w:hint="eastAsia"/>
          <w:color w:val="auto"/>
          <w:szCs w:val="21"/>
          <w:highlight w:val="none"/>
        </w:rPr>
        <w:t>文件》、乙方《投标文件》</w:t>
      </w:r>
      <w:r>
        <w:rPr>
          <w:color w:val="auto"/>
          <w:szCs w:val="21"/>
          <w:highlight w:val="none"/>
        </w:rPr>
        <w:t>，</w:t>
      </w:r>
      <w:r>
        <w:rPr>
          <w:rFonts w:hint="eastAsia" w:ascii="Times New Roman" w:hAnsi="Times New Roman"/>
          <w:color w:val="auto"/>
          <w:szCs w:val="21"/>
          <w:highlight w:val="none"/>
        </w:rPr>
        <w:t>甲方</w:t>
      </w:r>
      <w:r>
        <w:rPr>
          <w:rFonts w:ascii="Times New Roman" w:hAnsi="Times New Roman"/>
          <w:color w:val="auto"/>
          <w:szCs w:val="21"/>
          <w:highlight w:val="none"/>
        </w:rPr>
        <w:t>为</w:t>
      </w:r>
      <w:r>
        <w:rPr>
          <w:rFonts w:ascii="Times New Roman" w:hAnsi="Times New Roman"/>
          <w:color w:val="auto"/>
          <w:szCs w:val="21"/>
          <w:highlight w:val="none"/>
          <w:u w:val="single"/>
        </w:rPr>
        <w:t xml:space="preserve"> </w:t>
      </w:r>
      <w:r>
        <w:rPr>
          <w:rFonts w:hint="eastAsia"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rFonts w:ascii="Times New Roman" w:hAnsi="Times New Roman"/>
          <w:color w:val="auto"/>
          <w:szCs w:val="21"/>
          <w:highlight w:val="none"/>
        </w:rPr>
        <w:t>科购置设备</w:t>
      </w:r>
      <w:r>
        <w:rPr>
          <w:rFonts w:hint="eastAsia" w:ascii="Times New Roman" w:hAnsi="Times New Roman"/>
          <w:color w:val="auto"/>
          <w:szCs w:val="21"/>
          <w:highlight w:val="none"/>
        </w:rPr>
        <w:t>，</w:t>
      </w:r>
      <w:r>
        <w:rPr>
          <w:rFonts w:ascii="Times New Roman" w:hAnsi="Times New Roman"/>
          <w:color w:val="auto"/>
          <w:szCs w:val="21"/>
          <w:highlight w:val="none"/>
        </w:rPr>
        <w:t>经</w:t>
      </w:r>
      <w:r>
        <w:rPr>
          <w:rFonts w:hint="eastAsia" w:ascii="Times New Roman" w:hAnsi="Times New Roman"/>
          <w:color w:val="auto"/>
          <w:szCs w:val="21"/>
          <w:highlight w:val="none"/>
        </w:rPr>
        <w:t>过</w:t>
      </w:r>
      <w:r>
        <w:rPr>
          <w:rFonts w:hint="eastAsia" w:ascii="Times New Roman" w:hAnsi="Times New Roman"/>
          <w:color w:val="auto"/>
          <w:szCs w:val="21"/>
          <w:highlight w:val="none"/>
          <w:lang w:eastAsia="zh-CN"/>
        </w:rPr>
        <w:t>院内磋商</w:t>
      </w:r>
      <w:r>
        <w:rPr>
          <w:rFonts w:ascii="Times New Roman" w:hAnsi="Times New Roman"/>
          <w:color w:val="auto"/>
          <w:szCs w:val="21"/>
          <w:highlight w:val="none"/>
        </w:rPr>
        <w:t>，</w:t>
      </w:r>
      <w:r>
        <w:rPr>
          <w:rFonts w:hint="eastAsia" w:ascii="Times New Roman" w:hAnsi="Times New Roman"/>
          <w:color w:val="auto"/>
          <w:szCs w:val="21"/>
          <w:highlight w:val="none"/>
        </w:rPr>
        <w:t>确定乙方为供货商，</w:t>
      </w:r>
      <w:r>
        <w:rPr>
          <w:rFonts w:ascii="Times New Roman" w:hAnsi="Times New Roman"/>
          <w:color w:val="auto"/>
          <w:szCs w:val="21"/>
          <w:highlight w:val="none"/>
        </w:rPr>
        <w:t>特订立本合同。</w:t>
      </w:r>
    </w:p>
    <w:p w14:paraId="68240B13">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第一条  采购清单</w:t>
      </w:r>
    </w:p>
    <w:tbl>
      <w:tblPr>
        <w:tblStyle w:val="34"/>
        <w:tblW w:w="106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94"/>
        <w:gridCol w:w="885"/>
        <w:gridCol w:w="1245"/>
        <w:gridCol w:w="1620"/>
        <w:gridCol w:w="750"/>
        <w:gridCol w:w="660"/>
        <w:gridCol w:w="705"/>
        <w:gridCol w:w="1200"/>
        <w:gridCol w:w="1194"/>
        <w:gridCol w:w="1228"/>
      </w:tblGrid>
      <w:tr w14:paraId="5F81E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94" w:type="dxa"/>
            <w:noWrap w:val="0"/>
            <w:vAlign w:val="center"/>
          </w:tcPr>
          <w:p w14:paraId="28927EA4">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设备名称</w:t>
            </w:r>
          </w:p>
        </w:tc>
        <w:tc>
          <w:tcPr>
            <w:tcW w:w="885" w:type="dxa"/>
            <w:noWrap w:val="0"/>
            <w:vAlign w:val="center"/>
          </w:tcPr>
          <w:p w14:paraId="69A7CDD3">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品牌</w:t>
            </w:r>
          </w:p>
        </w:tc>
        <w:tc>
          <w:tcPr>
            <w:tcW w:w="1245" w:type="dxa"/>
            <w:noWrap w:val="0"/>
            <w:vAlign w:val="center"/>
          </w:tcPr>
          <w:p w14:paraId="2391B691">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型号</w:t>
            </w:r>
          </w:p>
        </w:tc>
        <w:tc>
          <w:tcPr>
            <w:tcW w:w="1620" w:type="dxa"/>
            <w:noWrap w:val="0"/>
            <w:vAlign w:val="center"/>
          </w:tcPr>
          <w:p w14:paraId="55DAF847">
            <w:pPr>
              <w:spacing w:line="360" w:lineRule="auto"/>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注册证号</w:t>
            </w:r>
          </w:p>
        </w:tc>
        <w:tc>
          <w:tcPr>
            <w:tcW w:w="750" w:type="dxa"/>
            <w:noWrap w:val="0"/>
            <w:vAlign w:val="center"/>
          </w:tcPr>
          <w:p w14:paraId="6ED63B72">
            <w:pPr>
              <w:spacing w:line="360" w:lineRule="auto"/>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产地</w:t>
            </w:r>
          </w:p>
        </w:tc>
        <w:tc>
          <w:tcPr>
            <w:tcW w:w="660" w:type="dxa"/>
            <w:noWrap w:val="0"/>
            <w:vAlign w:val="center"/>
          </w:tcPr>
          <w:p w14:paraId="5F9B7F3D">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单位</w:t>
            </w:r>
          </w:p>
        </w:tc>
        <w:tc>
          <w:tcPr>
            <w:tcW w:w="705" w:type="dxa"/>
            <w:noWrap w:val="0"/>
            <w:vAlign w:val="center"/>
          </w:tcPr>
          <w:p w14:paraId="374E08F0">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spacing w:val="10"/>
                <w:kern w:val="0"/>
                <w:sz w:val="20"/>
                <w:szCs w:val="20"/>
                <w:fitText w:val="420" w:id="1784967379"/>
              </w:rPr>
              <w:t>数</w:t>
            </w:r>
            <w:r>
              <w:rPr>
                <w:rFonts w:hint="default" w:ascii="Times New Roman" w:hAnsi="Times New Roman" w:eastAsia="宋体" w:cs="Times New Roman"/>
                <w:color w:val="auto"/>
                <w:spacing w:val="0"/>
                <w:kern w:val="0"/>
                <w:sz w:val="20"/>
                <w:szCs w:val="20"/>
                <w:fitText w:val="420" w:id="1784967379"/>
              </w:rPr>
              <w:t>量</w:t>
            </w:r>
          </w:p>
        </w:tc>
        <w:tc>
          <w:tcPr>
            <w:tcW w:w="1200" w:type="dxa"/>
            <w:noWrap w:val="0"/>
            <w:vAlign w:val="center"/>
          </w:tcPr>
          <w:p w14:paraId="681F8552">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单价（元）</w:t>
            </w:r>
          </w:p>
        </w:tc>
        <w:tc>
          <w:tcPr>
            <w:tcW w:w="1194" w:type="dxa"/>
            <w:noWrap w:val="0"/>
            <w:vAlign w:val="center"/>
          </w:tcPr>
          <w:p w14:paraId="221E59CA">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合计（元）</w:t>
            </w:r>
          </w:p>
        </w:tc>
        <w:tc>
          <w:tcPr>
            <w:tcW w:w="1228" w:type="dxa"/>
            <w:noWrap w:val="0"/>
            <w:vAlign w:val="center"/>
          </w:tcPr>
          <w:p w14:paraId="6288486F">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备注</w:t>
            </w:r>
          </w:p>
        </w:tc>
      </w:tr>
      <w:tr w14:paraId="1AD77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94" w:type="dxa"/>
            <w:noWrap w:val="0"/>
            <w:vAlign w:val="center"/>
          </w:tcPr>
          <w:p w14:paraId="2C2020DD">
            <w:pPr>
              <w:spacing w:line="360" w:lineRule="auto"/>
              <w:jc w:val="center"/>
              <w:rPr>
                <w:rFonts w:hint="eastAsia" w:ascii="Times New Roman" w:hAnsi="Times New Roman" w:eastAsia="宋体" w:cs="Times New Roman"/>
                <w:color w:val="auto"/>
                <w:kern w:val="2"/>
                <w:sz w:val="20"/>
                <w:szCs w:val="20"/>
                <w:lang w:eastAsia="zh-CN"/>
              </w:rPr>
            </w:pPr>
          </w:p>
        </w:tc>
        <w:tc>
          <w:tcPr>
            <w:tcW w:w="885" w:type="dxa"/>
            <w:noWrap w:val="0"/>
            <w:vAlign w:val="center"/>
          </w:tcPr>
          <w:p w14:paraId="12E83632">
            <w:pPr>
              <w:spacing w:line="360" w:lineRule="auto"/>
              <w:jc w:val="center"/>
              <w:rPr>
                <w:rFonts w:hint="eastAsia" w:ascii="Times New Roman" w:hAnsi="Times New Roman" w:eastAsia="宋体" w:cs="Times New Roman"/>
                <w:color w:val="auto"/>
                <w:kern w:val="2"/>
                <w:sz w:val="20"/>
                <w:szCs w:val="20"/>
                <w:lang w:eastAsia="zh-CN"/>
              </w:rPr>
            </w:pPr>
          </w:p>
        </w:tc>
        <w:tc>
          <w:tcPr>
            <w:tcW w:w="1245" w:type="dxa"/>
            <w:noWrap w:val="0"/>
            <w:vAlign w:val="center"/>
          </w:tcPr>
          <w:p w14:paraId="455393D2">
            <w:pPr>
              <w:spacing w:line="360" w:lineRule="auto"/>
              <w:jc w:val="center"/>
              <w:rPr>
                <w:rFonts w:hint="default" w:ascii="Times New Roman" w:hAnsi="Times New Roman" w:eastAsia="宋体" w:cs="Times New Roman"/>
                <w:color w:val="auto"/>
                <w:kern w:val="2"/>
                <w:sz w:val="20"/>
                <w:szCs w:val="20"/>
                <w:lang w:val="en-US" w:eastAsia="zh-CN"/>
              </w:rPr>
            </w:pPr>
          </w:p>
        </w:tc>
        <w:tc>
          <w:tcPr>
            <w:tcW w:w="1620" w:type="dxa"/>
            <w:noWrap w:val="0"/>
            <w:vAlign w:val="center"/>
          </w:tcPr>
          <w:p w14:paraId="7A3267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kern w:val="2"/>
                <w:sz w:val="20"/>
                <w:szCs w:val="20"/>
                <w:lang w:val="en-US" w:eastAsia="zh-CN"/>
              </w:rPr>
            </w:pPr>
          </w:p>
        </w:tc>
        <w:tc>
          <w:tcPr>
            <w:tcW w:w="750" w:type="dxa"/>
            <w:noWrap w:val="0"/>
            <w:vAlign w:val="center"/>
          </w:tcPr>
          <w:p w14:paraId="3828FAF9">
            <w:pPr>
              <w:spacing w:line="360" w:lineRule="auto"/>
              <w:jc w:val="center"/>
              <w:rPr>
                <w:rFonts w:hint="eastAsia" w:ascii="Times New Roman" w:hAnsi="Times New Roman" w:eastAsia="宋体" w:cs="Times New Roman"/>
                <w:color w:val="auto"/>
                <w:kern w:val="2"/>
                <w:sz w:val="20"/>
                <w:szCs w:val="20"/>
                <w:lang w:eastAsia="zh-CN"/>
              </w:rPr>
            </w:pPr>
          </w:p>
        </w:tc>
        <w:tc>
          <w:tcPr>
            <w:tcW w:w="660" w:type="dxa"/>
            <w:noWrap w:val="0"/>
            <w:vAlign w:val="center"/>
          </w:tcPr>
          <w:p w14:paraId="2E3BB6E1">
            <w:pPr>
              <w:spacing w:line="360" w:lineRule="auto"/>
              <w:jc w:val="center"/>
              <w:rPr>
                <w:rFonts w:hint="eastAsia" w:ascii="Times New Roman" w:hAnsi="Times New Roman" w:eastAsia="宋体" w:cs="Times New Roman"/>
                <w:color w:val="auto"/>
                <w:kern w:val="2"/>
                <w:sz w:val="20"/>
                <w:szCs w:val="20"/>
                <w:lang w:eastAsia="zh-CN"/>
              </w:rPr>
            </w:pPr>
          </w:p>
        </w:tc>
        <w:tc>
          <w:tcPr>
            <w:tcW w:w="705" w:type="dxa"/>
            <w:noWrap w:val="0"/>
            <w:vAlign w:val="center"/>
          </w:tcPr>
          <w:p w14:paraId="7E66944D">
            <w:pPr>
              <w:spacing w:line="360" w:lineRule="auto"/>
              <w:jc w:val="center"/>
              <w:rPr>
                <w:rFonts w:hint="default" w:ascii="Times New Roman" w:hAnsi="Times New Roman" w:eastAsia="宋体" w:cs="Times New Roman"/>
                <w:color w:val="auto"/>
                <w:kern w:val="2"/>
                <w:sz w:val="20"/>
                <w:szCs w:val="20"/>
                <w:lang w:val="en-US" w:eastAsia="zh-CN"/>
              </w:rPr>
            </w:pPr>
          </w:p>
        </w:tc>
        <w:tc>
          <w:tcPr>
            <w:tcW w:w="1200" w:type="dxa"/>
            <w:noWrap w:val="0"/>
            <w:vAlign w:val="center"/>
          </w:tcPr>
          <w:p w14:paraId="01B96408">
            <w:pPr>
              <w:spacing w:line="360" w:lineRule="auto"/>
              <w:jc w:val="center"/>
              <w:rPr>
                <w:rFonts w:hint="default" w:ascii="Times New Roman" w:hAnsi="Times New Roman" w:eastAsia="宋体" w:cs="Times New Roman"/>
                <w:color w:val="auto"/>
                <w:kern w:val="2"/>
                <w:sz w:val="20"/>
                <w:szCs w:val="20"/>
                <w:lang w:val="en-US" w:eastAsia="zh-CN"/>
              </w:rPr>
            </w:pPr>
          </w:p>
        </w:tc>
        <w:tc>
          <w:tcPr>
            <w:tcW w:w="1194" w:type="dxa"/>
            <w:noWrap w:val="0"/>
            <w:vAlign w:val="center"/>
          </w:tcPr>
          <w:p w14:paraId="12B5EC71">
            <w:pPr>
              <w:spacing w:line="360" w:lineRule="auto"/>
              <w:jc w:val="center"/>
              <w:rPr>
                <w:rFonts w:hint="default" w:ascii="Times New Roman" w:hAnsi="Times New Roman" w:eastAsia="宋体" w:cs="Times New Roman"/>
                <w:color w:val="auto"/>
                <w:kern w:val="2"/>
                <w:sz w:val="20"/>
                <w:szCs w:val="20"/>
                <w:lang w:val="en-US" w:eastAsia="zh-CN"/>
              </w:rPr>
            </w:pPr>
          </w:p>
        </w:tc>
        <w:tc>
          <w:tcPr>
            <w:tcW w:w="1228" w:type="dxa"/>
            <w:vMerge w:val="restart"/>
            <w:noWrap w:val="0"/>
            <w:vAlign w:val="center"/>
          </w:tcPr>
          <w:p w14:paraId="78827D72">
            <w:pPr>
              <w:spacing w:line="360" w:lineRule="auto"/>
              <w:jc w:val="center"/>
              <w:rPr>
                <w:rFonts w:hint="default" w:ascii="Times New Roman" w:hAnsi="Times New Roman" w:eastAsia="宋体" w:cs="Times New Roman"/>
                <w:color w:val="auto"/>
                <w:kern w:val="2"/>
                <w:sz w:val="20"/>
                <w:szCs w:val="20"/>
              </w:rPr>
            </w:pPr>
          </w:p>
        </w:tc>
      </w:tr>
      <w:tr w14:paraId="196A8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354" w:type="dxa"/>
            <w:gridSpan w:val="6"/>
            <w:tcBorders>
              <w:right w:val="nil"/>
            </w:tcBorders>
            <w:noWrap w:val="0"/>
            <w:vAlign w:val="center"/>
          </w:tcPr>
          <w:p w14:paraId="250E83CB">
            <w:pPr>
              <w:spacing w:line="360" w:lineRule="auto"/>
              <w:rPr>
                <w:rFonts w:hint="eastAsia" w:ascii="Times New Roman" w:hAnsi="Times New Roman" w:eastAsia="宋体" w:cs="Times New Roman"/>
                <w:color w:val="auto"/>
                <w:kern w:val="2"/>
                <w:sz w:val="20"/>
                <w:szCs w:val="20"/>
                <w:lang w:eastAsia="zh-CN"/>
              </w:rPr>
            </w:pPr>
            <w:r>
              <w:rPr>
                <w:rFonts w:hint="default" w:ascii="Times New Roman" w:hAnsi="Times New Roman" w:eastAsia="宋体" w:cs="Times New Roman"/>
                <w:color w:val="auto"/>
                <w:kern w:val="2"/>
                <w:sz w:val="20"/>
                <w:szCs w:val="20"/>
              </w:rPr>
              <w:t>总金额（大写/人民</w:t>
            </w:r>
            <w:r>
              <w:rPr>
                <w:rFonts w:hint="eastAsia" w:ascii="Times New Roman" w:hAnsi="Times New Roman" w:eastAsia="宋体" w:cs="Times New Roman"/>
                <w:color w:val="auto"/>
                <w:kern w:val="2"/>
                <w:sz w:val="20"/>
                <w:szCs w:val="20"/>
              </w:rPr>
              <w:t>币</w:t>
            </w:r>
            <w:r>
              <w:rPr>
                <w:rFonts w:hint="default" w:ascii="Times New Roman" w:hAnsi="Times New Roman" w:eastAsia="宋体" w:cs="Times New Roman"/>
                <w:color w:val="auto"/>
                <w:kern w:val="2"/>
                <w:sz w:val="20"/>
                <w:szCs w:val="20"/>
              </w:rPr>
              <w:t>）</w:t>
            </w:r>
            <w:r>
              <w:rPr>
                <w:rFonts w:hint="eastAsia" w:ascii="Times New Roman" w:hAnsi="Times New Roman" w:eastAsia="宋体" w:cs="Times New Roman"/>
                <w:color w:val="auto"/>
                <w:kern w:val="2"/>
                <w:sz w:val="20"/>
                <w:szCs w:val="20"/>
              </w:rPr>
              <w:t>：</w:t>
            </w:r>
          </w:p>
        </w:tc>
        <w:tc>
          <w:tcPr>
            <w:tcW w:w="3099" w:type="dxa"/>
            <w:gridSpan w:val="3"/>
            <w:tcBorders>
              <w:left w:val="nil"/>
            </w:tcBorders>
            <w:noWrap w:val="0"/>
            <w:vAlign w:val="center"/>
          </w:tcPr>
          <w:p w14:paraId="4BDE6BD1">
            <w:pPr>
              <w:spacing w:line="360" w:lineRule="auto"/>
              <w:rPr>
                <w:rFonts w:hint="default" w:ascii="Times New Roman" w:hAnsi="Times New Roman" w:eastAsia="宋体" w:cs="Times New Roman"/>
                <w:color w:val="auto"/>
                <w:kern w:val="2"/>
                <w:sz w:val="20"/>
                <w:szCs w:val="20"/>
                <w:lang w:val="en-US" w:eastAsia="zh-CN"/>
              </w:rPr>
            </w:pPr>
            <w:r>
              <w:rPr>
                <w:rFonts w:hint="eastAsia" w:ascii="Times New Roman" w:hAnsi="Times New Roman" w:eastAsia="宋体" w:cs="Times New Roman"/>
                <w:color w:val="auto"/>
                <w:kern w:val="2"/>
                <w:sz w:val="20"/>
                <w:szCs w:val="20"/>
              </w:rPr>
              <w:t>小写：</w:t>
            </w:r>
            <w:r>
              <w:rPr>
                <w:rFonts w:hint="eastAsia" w:ascii="宋体" w:hAnsi="宋体" w:eastAsia="宋体" w:cs="宋体"/>
                <w:color w:val="auto"/>
                <w:kern w:val="2"/>
                <w:sz w:val="20"/>
                <w:szCs w:val="20"/>
              </w:rPr>
              <w:t>￥</w:t>
            </w:r>
          </w:p>
        </w:tc>
        <w:tc>
          <w:tcPr>
            <w:tcW w:w="1228" w:type="dxa"/>
            <w:vMerge w:val="continue"/>
            <w:noWrap w:val="0"/>
            <w:vAlign w:val="center"/>
          </w:tcPr>
          <w:p w14:paraId="743CB00A">
            <w:pPr>
              <w:spacing w:line="360" w:lineRule="auto"/>
              <w:rPr>
                <w:rFonts w:hint="default" w:ascii="Times New Roman" w:hAnsi="Times New Roman" w:eastAsia="宋体" w:cs="Times New Roman"/>
                <w:color w:val="auto"/>
                <w:kern w:val="2"/>
                <w:sz w:val="20"/>
                <w:szCs w:val="20"/>
              </w:rPr>
            </w:pPr>
          </w:p>
        </w:tc>
      </w:tr>
    </w:tbl>
    <w:p w14:paraId="13B7F24A">
      <w:pPr>
        <w:numPr>
          <w:ilvl w:val="0"/>
          <w:numId w:val="4"/>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上述价格含设备制造、包装、仓储、运输、</w:t>
      </w:r>
      <w:r>
        <w:rPr>
          <w:rFonts w:hint="eastAsia" w:ascii="Times New Roman" w:hAnsi="Times New Roman" w:eastAsia="宋体" w:cs="Times New Roman"/>
          <w:color w:val="auto"/>
          <w:kern w:val="2"/>
          <w:szCs w:val="21"/>
        </w:rPr>
        <w:t>退换货、</w:t>
      </w:r>
      <w:r>
        <w:rPr>
          <w:rFonts w:hint="default" w:ascii="Times New Roman" w:hAnsi="Times New Roman" w:eastAsia="宋体" w:cs="Times New Roman"/>
          <w:color w:val="auto"/>
          <w:kern w:val="2"/>
          <w:szCs w:val="21"/>
        </w:rPr>
        <w:t>安装、调试以及</w:t>
      </w:r>
      <w:r>
        <w:rPr>
          <w:rFonts w:hint="default" w:ascii="Times New Roman" w:hAnsi="Times New Roman" w:eastAsia="宋体" w:cs="Times New Roman"/>
          <w:color w:val="auto"/>
          <w:kern w:val="2"/>
        </w:rPr>
        <w:t>提供相应的培训，</w:t>
      </w:r>
      <w:r>
        <w:rPr>
          <w:rFonts w:hint="default" w:ascii="Times New Roman" w:hAnsi="Times New Roman" w:eastAsia="宋体" w:cs="Times New Roman"/>
          <w:color w:val="auto"/>
          <w:kern w:val="2"/>
          <w:szCs w:val="21"/>
        </w:rPr>
        <w:t>验收合格之前和质保期内备品、备件发生的所有含税费用，以及包装拆除物的清理费用</w:t>
      </w:r>
      <w:r>
        <w:rPr>
          <w:rFonts w:hint="eastAsia" w:ascii="Times New Roman" w:hAnsi="Times New Roman" w:eastAsia="宋体" w:cs="Times New Roman"/>
          <w:color w:val="auto"/>
          <w:kern w:val="2"/>
          <w:szCs w:val="21"/>
          <w:lang w:eastAsia="zh-CN"/>
        </w:rPr>
        <w:t>。</w:t>
      </w:r>
    </w:p>
    <w:p w14:paraId="712F34F9">
      <w:pPr>
        <w:numPr>
          <w:ilvl w:val="0"/>
          <w:numId w:val="4"/>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质保期内的维护、保养（含设备所有部件）与技术支持等事项而发生的一切费用，均已包含在合同总价中，由乙方自行承担。</w:t>
      </w:r>
    </w:p>
    <w:p w14:paraId="1CB46739">
      <w:pPr>
        <w:numPr>
          <w:ilvl w:val="0"/>
          <w:numId w:val="4"/>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乙方</w:t>
      </w:r>
      <w:r>
        <w:rPr>
          <w:rFonts w:hint="eastAsia" w:ascii="Times New Roman" w:hAnsi="Times New Roman" w:eastAsia="宋体" w:cs="Times New Roman"/>
          <w:color w:val="auto"/>
          <w:kern w:val="2"/>
        </w:rPr>
        <w:t>未</w:t>
      </w:r>
      <w:r>
        <w:rPr>
          <w:rFonts w:hint="default" w:ascii="Times New Roman" w:hAnsi="Times New Roman" w:eastAsia="宋体" w:cs="Times New Roman"/>
          <w:color w:val="auto"/>
          <w:kern w:val="2"/>
        </w:rPr>
        <w:t>按本合同约定提交设备所产生的任何费用由乙方负责，甲方对由此所引起的任何价格变动不予</w:t>
      </w:r>
      <w:r>
        <w:rPr>
          <w:rFonts w:hint="eastAsia" w:ascii="Times New Roman" w:hAnsi="Times New Roman" w:eastAsia="宋体" w:cs="Times New Roman"/>
          <w:color w:val="auto"/>
          <w:kern w:val="2"/>
        </w:rPr>
        <w:t>承</w:t>
      </w:r>
      <w:r>
        <w:rPr>
          <w:rFonts w:hint="default" w:ascii="Times New Roman" w:hAnsi="Times New Roman" w:eastAsia="宋体" w:cs="Times New Roman"/>
          <w:color w:val="auto"/>
          <w:kern w:val="2"/>
        </w:rPr>
        <w:t>认。</w:t>
      </w:r>
    </w:p>
    <w:p w14:paraId="5E9A526F">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第二条  付款条件与方式</w:t>
      </w:r>
    </w:p>
    <w:p w14:paraId="798E4A46">
      <w:pPr>
        <w:numPr>
          <w:ilvl w:val="0"/>
          <w:numId w:val="5"/>
        </w:numPr>
        <w:spacing w:line="360" w:lineRule="auto"/>
        <w:ind w:firstLine="420" w:firstLineChars="200"/>
        <w:rPr>
          <w:rFonts w:hint="default" w:ascii="Times New Roman" w:hAnsi="Times New Roman" w:eastAsia="宋体" w:cs="Times New Roman"/>
          <w:color w:val="auto"/>
          <w:kern w:val="2"/>
        </w:rPr>
      </w:pPr>
      <w:r>
        <w:rPr>
          <w:rFonts w:hint="eastAsia" w:ascii="Times New Roman" w:hAnsi="Times New Roman" w:eastAsia="宋体" w:cs="Times New Roman"/>
          <w:bCs/>
          <w:color w:val="auto"/>
          <w:kern w:val="2"/>
          <w:szCs w:val="21"/>
        </w:rPr>
        <w:t>设备验收合格且正常运行后，甲方收到发票后按照医院规定进入付款流程，合同总额1万元以上首次支付合同总额的90%货款，正常使用一年无息付清尾款，尾款支付按照尾款支付申请表执行。合同总额1万元以下及1500元以上支付合同总额的100%货款</w:t>
      </w:r>
      <w:r>
        <w:rPr>
          <w:rFonts w:hint="default" w:ascii="Times New Roman" w:hAnsi="Times New Roman" w:eastAsia="宋体" w:cs="Times New Roman"/>
          <w:bCs/>
          <w:color w:val="auto"/>
          <w:kern w:val="2"/>
          <w:szCs w:val="21"/>
        </w:rPr>
        <w:t>。</w:t>
      </w:r>
    </w:p>
    <w:p w14:paraId="4ACED9D8">
      <w:pPr>
        <w:numPr>
          <w:ilvl w:val="0"/>
          <w:numId w:val="5"/>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在达到本合同约定的付款条件后，乙方应向甲方出具正式合法的全额增值税发票，在乙方向甲方提出付款申请并提供发票之前，甲方有权拒绝付款。因乙方原因致使甲方未能及时付款所产生的责任由乙方负责，甲方不承担违约责任。</w:t>
      </w:r>
    </w:p>
    <w:p w14:paraId="5978786D">
      <w:pPr>
        <w:numPr>
          <w:ilvl w:val="0"/>
          <w:numId w:val="5"/>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涉及试剂类设备除试剂外不产生其他任何费用。</w:t>
      </w:r>
    </w:p>
    <w:p w14:paraId="1AFE9C5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第三条  供货方式及时间</w:t>
      </w:r>
    </w:p>
    <w:p w14:paraId="319F4617">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本次采购采用乙方送货的供货方式，免费安装、调试完毕方视为交付甲方，在交付甲方之前所供货物毁损、灭失的责任均由乙方承担。</w:t>
      </w:r>
    </w:p>
    <w:p w14:paraId="2BFB09F5">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预计到货时间：合同签订后</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天。交货地点：甲方指定地点。</w:t>
      </w:r>
    </w:p>
    <w:p w14:paraId="5BB8F926">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乙方应采取适当的、符合运输方式的包装、固定方式，因包装、固定不当对所供设备造成损毁</w:t>
      </w:r>
      <w:r>
        <w:rPr>
          <w:rFonts w:hint="eastAsia" w:ascii="Times New Roman" w:hAnsi="Times New Roman" w:eastAsia="宋体" w:cs="Times New Roman"/>
          <w:color w:val="auto"/>
          <w:kern w:val="2"/>
          <w:szCs w:val="21"/>
        </w:rPr>
        <w:t>责任由乙方承担，乙方的</w:t>
      </w:r>
      <w:r>
        <w:rPr>
          <w:rFonts w:hint="eastAsia" w:ascii="Times New Roman" w:hAnsi="Times New Roman" w:eastAsia="宋体" w:cs="Times New Roman"/>
          <w:color w:val="auto"/>
          <w:kern w:val="2"/>
          <w:szCs w:val="21"/>
          <w:lang w:eastAsia="zh-CN"/>
        </w:rPr>
        <w:t>安</w:t>
      </w:r>
      <w:r>
        <w:rPr>
          <w:rFonts w:hint="eastAsia" w:ascii="Times New Roman" w:hAnsi="Times New Roman" w:eastAsia="宋体" w:cs="Times New Roman"/>
          <w:color w:val="auto"/>
          <w:kern w:val="2"/>
          <w:szCs w:val="21"/>
        </w:rPr>
        <w:t>装、调试等行为不得对</w:t>
      </w:r>
      <w:r>
        <w:rPr>
          <w:rFonts w:hint="default" w:ascii="Times New Roman" w:hAnsi="Times New Roman" w:eastAsia="宋体" w:cs="Times New Roman"/>
          <w:color w:val="auto"/>
          <w:kern w:val="2"/>
          <w:szCs w:val="21"/>
        </w:rPr>
        <w:t>甲方使用造成不良影响。</w:t>
      </w:r>
    </w:p>
    <w:p w14:paraId="00C09B7A">
      <w:pPr>
        <w:numPr>
          <w:ilvl w:val="0"/>
          <w:numId w:val="6"/>
        </w:numPr>
        <w:spacing w:line="360" w:lineRule="auto"/>
        <w:ind w:firstLine="422" w:firstLineChars="200"/>
        <w:rPr>
          <w:rFonts w:hint="default" w:ascii="Times New Roman" w:hAnsi="Times New Roman" w:eastAsia="宋体" w:cs="Times New Roman"/>
          <w:bCs/>
          <w:color w:val="auto"/>
          <w:kern w:val="2"/>
          <w:szCs w:val="21"/>
        </w:rPr>
      </w:pPr>
      <w:r>
        <w:rPr>
          <w:rFonts w:hint="default" w:ascii="Times New Roman" w:hAnsi="Times New Roman" w:eastAsia="宋体" w:cs="Times New Roman"/>
          <w:b/>
          <w:color w:val="auto"/>
          <w:kern w:val="2"/>
          <w:szCs w:val="21"/>
        </w:rPr>
        <w:t>特别提醒：设备到货时间，乙方至少提前三天通知甲方医学装备部设备质控科（电话：025-52087505），以便甲方安排好相关收货工作。设备到达甲方医院时，乙方代表必须</w:t>
      </w:r>
      <w:r>
        <w:rPr>
          <w:rFonts w:hint="eastAsia" w:ascii="Times New Roman" w:hAnsi="Times New Roman" w:eastAsia="宋体" w:cs="Times New Roman"/>
          <w:b/>
          <w:color w:val="auto"/>
          <w:kern w:val="2"/>
          <w:szCs w:val="21"/>
        </w:rPr>
        <w:t>同时</w:t>
      </w:r>
      <w:r>
        <w:rPr>
          <w:rFonts w:hint="default" w:ascii="Times New Roman" w:hAnsi="Times New Roman" w:eastAsia="宋体" w:cs="Times New Roman"/>
          <w:b/>
          <w:color w:val="auto"/>
          <w:kern w:val="2"/>
          <w:szCs w:val="21"/>
        </w:rPr>
        <w:t>到达，由乙方负责卸货并搬运至甲方指定的地点，待设备搬运完毕后，甲乙双方办理交接手续。如未按上述规定执行，造成的一切后果全部由乙方承担。</w:t>
      </w:r>
    </w:p>
    <w:p w14:paraId="42E7045C">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第四条  质量标准及要求</w:t>
      </w:r>
    </w:p>
    <w:p w14:paraId="1DD9DBE1">
      <w:pPr>
        <w:numPr>
          <w:ilvl w:val="0"/>
          <w:numId w:val="7"/>
        </w:numPr>
        <w:spacing w:line="360" w:lineRule="auto"/>
        <w:ind w:left="0"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乙方保证所供设备是</w:t>
      </w:r>
      <w:r>
        <w:rPr>
          <w:rFonts w:hint="eastAsia" w:ascii="Times New Roman" w:hAnsi="Times New Roman" w:eastAsia="宋体" w:cs="Times New Roman"/>
          <w:color w:val="auto"/>
          <w:kern w:val="2"/>
          <w:szCs w:val="21"/>
        </w:rPr>
        <w:t>完全符合谈判时确定的</w:t>
      </w:r>
      <w:r>
        <w:rPr>
          <w:rFonts w:hint="default" w:ascii="Times New Roman" w:hAnsi="Times New Roman" w:eastAsia="宋体" w:cs="Times New Roman"/>
          <w:color w:val="auto"/>
          <w:kern w:val="2"/>
        </w:rPr>
        <w:t>原厂生产的、</w:t>
      </w:r>
      <w:r>
        <w:rPr>
          <w:rFonts w:hint="default" w:ascii="Times New Roman" w:hAnsi="Times New Roman" w:eastAsia="宋体" w:cs="Times New Roman"/>
          <w:color w:val="auto"/>
          <w:kern w:val="2"/>
          <w:szCs w:val="21"/>
        </w:rPr>
        <w:t>全新、未使用过的产品</w:t>
      </w:r>
      <w:r>
        <w:rPr>
          <w:rFonts w:hint="default" w:ascii="Times New Roman" w:hAnsi="Times New Roman" w:eastAsia="宋体" w:cs="Times New Roman"/>
          <w:color w:val="auto"/>
          <w:kern w:val="2"/>
        </w:rPr>
        <w:t>（包括零部件）</w:t>
      </w:r>
      <w:r>
        <w:rPr>
          <w:rFonts w:hint="default" w:ascii="Times New Roman" w:hAnsi="Times New Roman" w:eastAsia="宋体" w:cs="Times New Roman"/>
          <w:color w:val="auto"/>
          <w:kern w:val="2"/>
          <w:szCs w:val="21"/>
        </w:rPr>
        <w:t>，</w:t>
      </w:r>
      <w:r>
        <w:rPr>
          <w:rFonts w:hint="default" w:ascii="Times New Roman" w:hAnsi="Times New Roman" w:eastAsia="宋体" w:cs="Times New Roman"/>
          <w:color w:val="auto"/>
          <w:kern w:val="2"/>
        </w:rPr>
        <w:t>设备出厂日期不得早于到货日期陆个月（或180天）</w:t>
      </w:r>
      <w:r>
        <w:rPr>
          <w:rFonts w:hint="default" w:ascii="Times New Roman" w:hAnsi="Times New Roman" w:eastAsia="宋体" w:cs="Times New Roman"/>
          <w:b/>
          <w:bCs/>
          <w:color w:val="auto"/>
          <w:kern w:val="2"/>
          <w:szCs w:val="21"/>
        </w:rPr>
        <w:t>。</w:t>
      </w:r>
      <w:r>
        <w:rPr>
          <w:rFonts w:hint="default" w:ascii="Times New Roman" w:hAnsi="Times New Roman" w:eastAsia="宋体" w:cs="Times New Roman"/>
          <w:color w:val="auto"/>
          <w:kern w:val="2"/>
          <w:szCs w:val="21"/>
        </w:rPr>
        <w:t>乙方须保证所供产品质量合格，不得</w:t>
      </w:r>
      <w:r>
        <w:rPr>
          <w:rFonts w:hint="eastAsia" w:ascii="Times New Roman" w:hAnsi="Times New Roman" w:eastAsia="宋体" w:cs="Times New Roman"/>
          <w:color w:val="auto"/>
          <w:kern w:val="2"/>
          <w:szCs w:val="21"/>
          <w:lang w:eastAsia="zh-CN"/>
        </w:rPr>
        <w:t>弄虚作假</w:t>
      </w:r>
      <w:r>
        <w:rPr>
          <w:rFonts w:hint="default" w:ascii="Times New Roman" w:hAnsi="Times New Roman" w:eastAsia="宋体" w:cs="Times New Roman"/>
          <w:color w:val="auto"/>
          <w:kern w:val="2"/>
          <w:szCs w:val="21"/>
        </w:rPr>
        <w:t>、不得提供假冒伪劣产品或任意提供合同外产品，如果设备的质量或规格与合同不符，或证实设备有缺陷（包括潜在的缺陷或使用不符合要求的材料等</w:t>
      </w:r>
      <w:r>
        <w:rPr>
          <w:rFonts w:hint="eastAsia" w:ascii="Times New Roman" w:hAnsi="Times New Roman" w:eastAsia="宋体" w:cs="Times New Roman"/>
          <w:color w:val="auto"/>
          <w:kern w:val="2"/>
          <w:szCs w:val="21"/>
          <w:lang w:eastAsia="zh-CN"/>
        </w:rPr>
        <w:t>）</w:t>
      </w:r>
      <w:r>
        <w:rPr>
          <w:rFonts w:hint="default" w:ascii="Times New Roman" w:hAnsi="Times New Roman" w:eastAsia="宋体" w:cs="Times New Roman"/>
          <w:color w:val="auto"/>
          <w:kern w:val="2"/>
          <w:szCs w:val="21"/>
        </w:rPr>
        <w:t>，乙方应在接到甲方通知后5个工作日内更换成达标设备，其费用由乙方负担。同时，甲方有权要求延长设备的保修期。由于设备质量引起的医疗纠纷，乙方承担全部的法律和经济责任。</w:t>
      </w:r>
    </w:p>
    <w:p w14:paraId="274E9321">
      <w:pPr>
        <w:numPr>
          <w:ilvl w:val="0"/>
          <w:numId w:val="7"/>
        </w:numPr>
        <w:spacing w:line="360" w:lineRule="auto"/>
        <w:ind w:left="0"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乙方保证向甲方提供的设备满足中国国家标准及相关行业标</w:t>
      </w:r>
      <w:r>
        <w:rPr>
          <w:rFonts w:hint="eastAsia" w:ascii="Times New Roman" w:hAnsi="Times New Roman" w:eastAsia="宋体" w:cs="Times New Roman"/>
          <w:color w:val="auto"/>
          <w:kern w:val="2"/>
          <w:szCs w:val="21"/>
          <w:lang w:eastAsia="zh-CN"/>
        </w:rPr>
        <w:t>准</w:t>
      </w:r>
      <w:r>
        <w:rPr>
          <w:rFonts w:hint="default" w:ascii="Times New Roman" w:hAnsi="Times New Roman" w:eastAsia="宋体" w:cs="Times New Roman"/>
          <w:color w:val="auto"/>
          <w:kern w:val="2"/>
          <w:szCs w:val="21"/>
        </w:rPr>
        <w:t>。根据国家规定，如需要提供3C认证证书和标记的设备及有关配置，必须提供上述证书和标记。</w:t>
      </w:r>
    </w:p>
    <w:p w14:paraId="4A45C2FF">
      <w:pPr>
        <w:numPr>
          <w:ilvl w:val="0"/>
          <w:numId w:val="7"/>
        </w:numPr>
        <w:spacing w:line="360" w:lineRule="auto"/>
        <w:ind w:left="0" w:firstLine="422"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b/>
          <w:bCs/>
          <w:color w:val="auto"/>
          <w:kern w:val="2"/>
          <w:szCs w:val="21"/>
        </w:rPr>
        <w:t>特别提醒：a、所提供医疗器械产品注册证必须真实有效；b、所提供设备上的中文品名、型号及产品说明书所注适用范围必须与医疗器械产品注册证所标明的完全一致；c、医疗设备上的铭牌必须标注医疗器械注册证号；d、发票上所列品名与型号必须与合同所列品名与型号完全一致：e、其他未提及事项必须符合国家食品药品监督管理局的相关规定。</w:t>
      </w:r>
    </w:p>
    <w:p w14:paraId="7D4118E7">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第五条  安装、调试与验收</w:t>
      </w:r>
    </w:p>
    <w:p w14:paraId="02650F6E">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乙方必须在甲方指定的地点免费进行设备的安装，安装所需的相应配套设施由乙方自行负责解决，用户提供必</w:t>
      </w:r>
      <w:r>
        <w:rPr>
          <w:rFonts w:hint="eastAsia" w:ascii="Times New Roman" w:hAnsi="Times New Roman" w:eastAsia="宋体" w:cs="Times New Roman"/>
          <w:color w:val="auto"/>
          <w:kern w:val="2"/>
          <w:lang w:eastAsia="zh-CN"/>
        </w:rPr>
        <w:t>需</w:t>
      </w:r>
      <w:r>
        <w:rPr>
          <w:rFonts w:hint="default" w:ascii="Times New Roman" w:hAnsi="Times New Roman" w:eastAsia="宋体" w:cs="Times New Roman"/>
          <w:color w:val="auto"/>
          <w:kern w:val="2"/>
        </w:rPr>
        <w:t>的现场安装条件，并给予必要的配合。如现场安装需特殊条件，乙方</w:t>
      </w:r>
      <w:r>
        <w:rPr>
          <w:rFonts w:hint="default" w:ascii="Times New Roman" w:hAnsi="Times New Roman" w:eastAsia="宋体" w:cs="Times New Roman"/>
          <w:color w:val="auto"/>
          <w:kern w:val="2"/>
          <w:szCs w:val="21"/>
        </w:rPr>
        <w:t>在合同签订后</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2</w:t>
      </w:r>
      <w:r>
        <w:rPr>
          <w:rFonts w:hint="default" w:ascii="Times New Roman" w:hAnsi="Times New Roman" w:eastAsia="宋体" w:cs="Times New Roman"/>
          <w:color w:val="auto"/>
          <w:kern w:val="2"/>
          <w:szCs w:val="21"/>
        </w:rPr>
        <w:t>个工作日内，给出场地要求，</w:t>
      </w:r>
      <w:r>
        <w:rPr>
          <w:rFonts w:hint="eastAsia" w:ascii="Times New Roman" w:hAnsi="Times New Roman" w:eastAsia="宋体" w:cs="Times New Roman"/>
          <w:color w:val="auto"/>
          <w:kern w:val="2"/>
          <w:szCs w:val="21"/>
          <w:u w:val="single"/>
          <w:lang w:val="en-US" w:eastAsia="zh-CN"/>
        </w:rPr>
        <w:t>1</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工作日内完成场地施工。乙方免费提前为甲方提供设备安装图纸，并充分协助甲方做好机房的准备工作（如必要的话）。</w:t>
      </w:r>
      <w:r>
        <w:rPr>
          <w:rFonts w:hint="default" w:ascii="Times New Roman" w:hAnsi="Times New Roman" w:eastAsia="宋体" w:cs="Times New Roman"/>
          <w:color w:val="auto"/>
          <w:kern w:val="2"/>
        </w:rPr>
        <w:t>乙方需于</w:t>
      </w:r>
      <w:r>
        <w:rPr>
          <w:rFonts w:hint="default" w:ascii="Times New Roman" w:hAnsi="Times New Roman" w:eastAsia="宋体" w:cs="Times New Roman"/>
          <w:color w:val="auto"/>
          <w:kern w:val="2"/>
          <w:szCs w:val="21"/>
        </w:rPr>
        <w:t>合同签订之日起</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个工作日内</w:t>
      </w:r>
      <w:r>
        <w:rPr>
          <w:rFonts w:hint="default" w:ascii="Times New Roman" w:hAnsi="Times New Roman" w:eastAsia="宋体" w:cs="Times New Roman"/>
          <w:color w:val="auto"/>
          <w:kern w:val="2"/>
        </w:rPr>
        <w:t>完成交货及相应的安装、调试、</w:t>
      </w:r>
      <w:r>
        <w:rPr>
          <w:rFonts w:hint="default" w:ascii="Times New Roman" w:hAnsi="Times New Roman" w:eastAsia="宋体" w:cs="Times New Roman"/>
          <w:color w:val="auto"/>
          <w:kern w:val="2"/>
          <w:szCs w:val="21"/>
        </w:rPr>
        <w:t>正常运行和现场培训</w:t>
      </w:r>
      <w:r>
        <w:rPr>
          <w:rFonts w:hint="default" w:ascii="Times New Roman" w:hAnsi="Times New Roman" w:eastAsia="宋体" w:cs="Times New Roman"/>
          <w:color w:val="auto"/>
          <w:kern w:val="2"/>
        </w:rPr>
        <w:t>工作，确保所供设备符合本合同约定的质量、数量、技术参数及要求，否则将按照合同约定承担违约责任。</w:t>
      </w:r>
    </w:p>
    <w:p w14:paraId="149C9A78">
      <w:pPr>
        <w:numPr>
          <w:ilvl w:val="0"/>
          <w:numId w:val="8"/>
        </w:numPr>
        <w:spacing w:line="360" w:lineRule="auto"/>
        <w:ind w:firstLine="422" w:firstLineChars="200"/>
        <w:rPr>
          <w:rFonts w:hint="default" w:ascii="Times New Roman" w:hAnsi="Times New Roman" w:eastAsia="宋体" w:cs="Times New Roman"/>
          <w:b/>
          <w:bCs/>
          <w:color w:val="FF0000"/>
          <w:kern w:val="2"/>
        </w:rPr>
      </w:pPr>
      <w:r>
        <w:rPr>
          <w:rFonts w:hint="eastAsia" w:ascii="Times New Roman" w:hAnsi="Times New Roman" w:eastAsia="宋体" w:cs="Times New Roman"/>
          <w:b/>
          <w:bCs/>
          <w:color w:val="FF0000"/>
          <w:kern w:val="2"/>
          <w:lang w:eastAsia="zh-CN"/>
        </w:rPr>
        <w:t>设备到货时乙方必须提供随货同行单，随货同行单内容必须涵盖设备名称、型号、序列号、数量、设备单价、生产日期、有效期</w:t>
      </w:r>
      <w:r>
        <w:rPr>
          <w:rFonts w:hint="eastAsia" w:ascii="Times New Roman" w:hAnsi="Times New Roman" w:eastAsia="宋体" w:cs="Times New Roman"/>
          <w:b/>
          <w:bCs/>
          <w:color w:val="FF0000"/>
          <w:kern w:val="2"/>
          <w:lang w:val="en-US" w:eastAsia="zh-CN"/>
        </w:rPr>
        <w:t>/使用寿命、生产许可证号、注册证号、</w:t>
      </w:r>
      <w:r>
        <w:rPr>
          <w:rFonts w:hint="eastAsia" w:ascii="Times New Roman" w:hAnsi="Times New Roman" w:eastAsia="宋体" w:cs="Times New Roman"/>
          <w:b/>
          <w:bCs/>
          <w:color w:val="FF0000"/>
          <w:kern w:val="2"/>
          <w:lang w:eastAsia="zh-CN"/>
        </w:rPr>
        <w:t>生产厂家、发货单位名称、发货地址、联系方式、发货日期、收货单位、收货地址、联系方式等信息。</w:t>
      </w:r>
    </w:p>
    <w:p w14:paraId="6B7C6545">
      <w:pPr>
        <w:numPr>
          <w:ilvl w:val="0"/>
          <w:numId w:val="8"/>
        </w:numPr>
        <w:spacing w:line="360" w:lineRule="auto"/>
        <w:ind w:firstLine="422" w:firstLineChars="200"/>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乙方必须提供产品必备的证件，包括注册证（含附件产品技术要求）、原厂出具的合格证明文件、安全认证、中文标签、经营及生产资质、海关报关单、商检合格证明等并加盖公章，操作手册、简易操作流程卡、维修手册（含详细电路图）一并提供，及以上技术资料的电子版，如资料不全，甲方不予验收，因此产生的损失由乙方自行承担。</w:t>
      </w:r>
    </w:p>
    <w:p w14:paraId="2F0DBB2D">
      <w:pPr>
        <w:numPr>
          <w:ilvl w:val="0"/>
          <w:numId w:val="8"/>
        </w:numPr>
        <w:spacing w:line="360" w:lineRule="auto"/>
        <w:ind w:firstLine="422" w:firstLineChars="200"/>
        <w:rPr>
          <w:rFonts w:hint="default" w:ascii="Times New Roman" w:hAnsi="Times New Roman" w:eastAsia="宋体" w:cs="Times New Roman"/>
          <w:bCs/>
          <w:color w:val="auto"/>
          <w:kern w:val="2"/>
          <w:szCs w:val="21"/>
        </w:rPr>
      </w:pPr>
      <w:r>
        <w:rPr>
          <w:rFonts w:hint="default" w:ascii="Times New Roman" w:hAnsi="Times New Roman" w:eastAsia="宋体" w:cs="Times New Roman"/>
          <w:b/>
          <w:color w:val="auto"/>
          <w:kern w:val="2"/>
          <w:szCs w:val="21"/>
        </w:rPr>
        <w:t>特</w:t>
      </w:r>
      <w:r>
        <w:rPr>
          <w:rFonts w:hint="eastAsia" w:ascii="Times New Roman" w:hAnsi="Times New Roman" w:eastAsia="宋体" w:cs="Times New Roman"/>
          <w:b/>
          <w:color w:val="auto"/>
          <w:kern w:val="2"/>
          <w:szCs w:val="21"/>
        </w:rPr>
        <w:t>别</w:t>
      </w:r>
      <w:r>
        <w:rPr>
          <w:rFonts w:hint="default" w:ascii="Times New Roman" w:hAnsi="Times New Roman" w:eastAsia="宋体" w:cs="Times New Roman"/>
          <w:b/>
          <w:color w:val="auto"/>
          <w:kern w:val="2"/>
          <w:szCs w:val="21"/>
        </w:rPr>
        <w:t>提醒：设备安装时，乙方负责设备的免费安装和调试，但乙方必须事先与甲方的医学装备部设备质控科联系，并与设备质控科共同参与，否则引起的一切责任由乙方承担。</w:t>
      </w:r>
    </w:p>
    <w:p w14:paraId="7A23F5F5">
      <w:pPr>
        <w:numPr>
          <w:ilvl w:val="0"/>
          <w:numId w:val="8"/>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设备安装后，</w:t>
      </w:r>
      <w:r>
        <w:rPr>
          <w:rFonts w:hint="default" w:ascii="Times New Roman" w:hAnsi="Times New Roman" w:eastAsia="宋体" w:cs="Times New Roman"/>
          <w:color w:val="auto"/>
          <w:kern w:val="2"/>
        </w:rPr>
        <w:t>乙方应在甲方的监督下进行调试，调试结果符合国家、行业及本合同约定的技术指标方视为符合交付条件。乙方所提供的设备安装调试完成后，甲方最终用户必须按本合同所约定的货物清单及要求对货物的品牌、外观、规格、数量、配件及安装调试后的使用性能、运行状况及其他情况进行验收，乙方必须在验收现场提供必要的技术支持。甲方最终用户应在乙方所提供的设备安装调试完成后选个工作日内验收完毕。</w:t>
      </w:r>
      <w:r>
        <w:rPr>
          <w:rFonts w:hint="default" w:ascii="Times New Roman" w:hAnsi="Times New Roman" w:eastAsia="宋体" w:cs="Times New Roman"/>
          <w:color w:val="auto"/>
          <w:kern w:val="2"/>
          <w:szCs w:val="21"/>
        </w:rPr>
        <w:t>若有歧义，甲方有权委托国内具有相关资质的单位对该设备进行质量检测，</w:t>
      </w:r>
      <w:r>
        <w:rPr>
          <w:rFonts w:hint="eastAsia" w:ascii="Times New Roman" w:hAnsi="Times New Roman" w:eastAsia="宋体" w:cs="Times New Roman"/>
          <w:color w:val="auto"/>
          <w:kern w:val="2"/>
          <w:szCs w:val="21"/>
        </w:rPr>
        <w:t>检测结果对于乙方有约束力，</w:t>
      </w:r>
      <w:r>
        <w:rPr>
          <w:rFonts w:hint="default" w:ascii="Times New Roman" w:hAnsi="Times New Roman" w:eastAsia="宋体" w:cs="Times New Roman"/>
          <w:color w:val="auto"/>
          <w:kern w:val="2"/>
          <w:szCs w:val="21"/>
        </w:rPr>
        <w:t>费用由乙方承担。</w:t>
      </w:r>
    </w:p>
    <w:p w14:paraId="710AEA26">
      <w:pPr>
        <w:numPr>
          <w:ilvl w:val="0"/>
          <w:numId w:val="8"/>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技术培训：在安装过程中或安装结束后，乙方工程师或有关人员有义务对甲方工程师和操作人员进行现场维修、保养、操作培训并提供快捷操作指南（制作二维码卡片贴于设备醒目处），解答甲方人员提出的问题。必要时提供正规培训班培训，确保操作人员掌握完成日常工作所需的基本操作方法为止，工程师掌握基本的维护保养操作技术为止。</w:t>
      </w:r>
      <w:r>
        <w:rPr>
          <w:rFonts w:hint="default" w:ascii="Times New Roman" w:hAnsi="Times New Roman" w:eastAsia="宋体" w:cs="Times New Roman"/>
          <w:color w:val="auto"/>
          <w:kern w:val="2"/>
        </w:rPr>
        <w:t>大型设备、特种设备或有特殊要求的高风险设备须提供满足学时要求的人员培训证明文件。</w:t>
      </w:r>
      <w:r>
        <w:rPr>
          <w:rFonts w:hint="default" w:ascii="Times New Roman" w:hAnsi="Times New Roman" w:eastAsia="宋体" w:cs="Times New Roman"/>
          <w:color w:val="auto"/>
          <w:kern w:val="2"/>
          <w:szCs w:val="21"/>
        </w:rPr>
        <w:t>详见乙方的承诺书。</w:t>
      </w:r>
    </w:p>
    <w:p w14:paraId="7599FD51">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经验收发现设备与合同规定不符或</w:t>
      </w:r>
      <w:r>
        <w:rPr>
          <w:rFonts w:hint="default" w:ascii="Times New Roman" w:hAnsi="Times New Roman" w:eastAsia="宋体" w:cs="Times New Roman"/>
          <w:color w:val="auto"/>
          <w:kern w:val="2"/>
          <w:szCs w:val="21"/>
        </w:rPr>
        <w:t>验收不合格，</w:t>
      </w:r>
      <w:r>
        <w:rPr>
          <w:rFonts w:hint="default" w:ascii="Times New Roman" w:hAnsi="Times New Roman" w:eastAsia="宋体" w:cs="Times New Roman"/>
          <w:color w:val="auto"/>
          <w:kern w:val="2"/>
        </w:rPr>
        <w:t>甲方有权拒绝接受并要求</w:t>
      </w:r>
      <w:r>
        <w:rPr>
          <w:rFonts w:hint="default" w:ascii="Times New Roman" w:hAnsi="Times New Roman" w:eastAsia="宋体" w:cs="Times New Roman"/>
          <w:color w:val="auto"/>
          <w:kern w:val="2"/>
          <w:szCs w:val="21"/>
        </w:rPr>
        <w:t>乙方无条件换货或退货，由此引起的一切损失由乙方承担。</w:t>
      </w:r>
      <w:r>
        <w:rPr>
          <w:rFonts w:hint="default" w:ascii="Times New Roman" w:hAnsi="Times New Roman" w:eastAsia="宋体" w:cs="Times New Roman"/>
          <w:color w:val="auto"/>
          <w:kern w:val="2"/>
        </w:rPr>
        <w:t>如设备在保证期内被证明存在缺陷，包括潜在的缺陷或使用不合适的材料，甲方有权凭有关证明文件向乙方提出索赔。</w:t>
      </w:r>
    </w:p>
    <w:p w14:paraId="6DA98858">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原则上，设备到货试运行至少15个工作日后方可</w:t>
      </w:r>
      <w:r>
        <w:rPr>
          <w:rFonts w:hint="eastAsia" w:ascii="Times New Roman" w:hAnsi="Times New Roman" w:eastAsia="宋体" w:cs="Times New Roman"/>
          <w:color w:val="auto"/>
          <w:kern w:val="2"/>
          <w:lang w:eastAsia="zh-CN"/>
        </w:rPr>
        <w:t>进行</w:t>
      </w:r>
      <w:r>
        <w:rPr>
          <w:rFonts w:hint="default" w:ascii="Times New Roman" w:hAnsi="Times New Roman" w:eastAsia="宋体" w:cs="Times New Roman"/>
          <w:color w:val="auto"/>
          <w:kern w:val="2"/>
        </w:rPr>
        <w:t>验收签字，设备验收后30个工作日内如甲方发现技术指标异常或提出其他异议的，乙方应在5个工作日内负责解决</w:t>
      </w:r>
      <w:r>
        <w:rPr>
          <w:rFonts w:hint="eastAsia" w:ascii="Times New Roman" w:hAnsi="Times New Roman" w:eastAsia="宋体" w:cs="Times New Roman"/>
          <w:color w:val="auto"/>
          <w:kern w:val="2"/>
          <w:lang w:eastAsia="zh-CN"/>
        </w:rPr>
        <w:t>。</w:t>
      </w:r>
    </w:p>
    <w:p w14:paraId="27095E88">
      <w:pPr>
        <w:numPr>
          <w:ilvl w:val="0"/>
          <w:numId w:val="8"/>
        </w:numPr>
        <w:spacing w:line="360" w:lineRule="auto"/>
        <w:ind w:firstLine="422" w:firstLineChars="200"/>
        <w:rPr>
          <w:rFonts w:hint="default" w:ascii="Times New Roman" w:hAnsi="Times New Roman" w:eastAsia="宋体" w:cs="Times New Roman"/>
          <w:b/>
          <w:bCs/>
          <w:color w:val="FF0000"/>
          <w:kern w:val="2"/>
        </w:rPr>
      </w:pPr>
      <w:r>
        <w:rPr>
          <w:rFonts w:hint="eastAsia" w:ascii="Times New Roman" w:hAnsi="Times New Roman" w:eastAsia="宋体" w:cs="Times New Roman"/>
          <w:b/>
          <w:bCs/>
          <w:color w:val="FF0000"/>
          <w:kern w:val="2"/>
          <w:lang w:eastAsia="zh-CN"/>
        </w:rPr>
        <w:t>设备安装后乙方需积极配合甲方完成验收工作，若因乙方原因未在设备到货后</w:t>
      </w:r>
      <w:r>
        <w:rPr>
          <w:rFonts w:hint="eastAsia" w:ascii="Times New Roman" w:hAnsi="Times New Roman" w:eastAsia="宋体" w:cs="Times New Roman"/>
          <w:b/>
          <w:bCs/>
          <w:color w:val="FF0000"/>
          <w:kern w:val="2"/>
          <w:lang w:val="en-US" w:eastAsia="zh-CN"/>
        </w:rPr>
        <w:t>3个月内完成验收，则合同作废，乙方需无偿撤回已安装设备。若到货设备不符合合同或验收要求，需要换货，则乙方需在3个月内完成换货及验收工作（国产设备），进口设备需在6个月内完成换货及验收，若更换产品仍不合格，则合同作废，乙方承担所有损失。</w:t>
      </w:r>
    </w:p>
    <w:p w14:paraId="2D1010FD">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第六条  服务条款</w:t>
      </w:r>
    </w:p>
    <w:p w14:paraId="2470948B">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乙方提供的设备免费保修</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年。</w:t>
      </w:r>
      <w:r>
        <w:rPr>
          <w:rFonts w:hint="eastAsia" w:ascii="Times New Roman" w:hAnsi="Times New Roman" w:eastAsia="宋体" w:cs="Times New Roman"/>
          <w:color w:val="auto"/>
          <w:kern w:val="2"/>
          <w:szCs w:val="21"/>
          <w:lang w:eastAsia="zh-CN"/>
        </w:rPr>
        <w:t>设备保修启始期以医院验收完成为准，</w:t>
      </w:r>
      <w:r>
        <w:rPr>
          <w:rFonts w:hint="default" w:ascii="Times New Roman" w:hAnsi="Times New Roman" w:eastAsia="宋体" w:cs="Times New Roman"/>
          <w:color w:val="auto"/>
          <w:kern w:val="2"/>
          <w:szCs w:val="21"/>
        </w:rPr>
        <w:t>保修期内易耗品仍需免费提供，不与易耗品使用期限挂钩。保修期以甲方验收报告签订日始，按365天/年计，保修范围包括合同中所有配置</w:t>
      </w:r>
      <w:r>
        <w:rPr>
          <w:rFonts w:hint="eastAsia" w:ascii="Times New Roman" w:hAnsi="Times New Roman" w:eastAsia="宋体" w:cs="Times New Roman"/>
          <w:color w:val="auto"/>
          <w:kern w:val="2"/>
          <w:szCs w:val="21"/>
          <w:lang w:eastAsia="zh-CN"/>
        </w:rPr>
        <w:t>和第三方产品，且不排除人为因素</w:t>
      </w:r>
      <w:r>
        <w:rPr>
          <w:rFonts w:hint="default" w:ascii="Times New Roman" w:hAnsi="Times New Roman" w:eastAsia="宋体" w:cs="Times New Roman"/>
          <w:color w:val="auto"/>
          <w:kern w:val="2"/>
          <w:szCs w:val="21"/>
        </w:rPr>
        <w:t>。并确保设备开机率≥9</w:t>
      </w:r>
      <w:r>
        <w:rPr>
          <w:rFonts w:hint="eastAsia" w:ascii="Times New Roman" w:hAnsi="Times New Roman" w:eastAsia="宋体" w:cs="Times New Roman"/>
          <w:color w:val="auto"/>
          <w:kern w:val="2"/>
          <w:szCs w:val="21"/>
          <w:lang w:val="en-US" w:eastAsia="zh-CN"/>
        </w:rPr>
        <w:t>8</w:t>
      </w:r>
      <w:r>
        <w:rPr>
          <w:rFonts w:hint="default" w:ascii="Times New Roman" w:hAnsi="Times New Roman" w:eastAsia="宋体" w:cs="Times New Roman"/>
          <w:color w:val="auto"/>
          <w:kern w:val="2"/>
          <w:szCs w:val="21"/>
        </w:rPr>
        <w:t>%，如设备故障停机率超过</w:t>
      </w:r>
      <w:r>
        <w:rPr>
          <w:rFonts w:hint="eastAsia" w:ascii="Times New Roman" w:hAnsi="Times New Roman" w:eastAsia="宋体" w:cs="Times New Roman"/>
          <w:color w:val="auto"/>
          <w:kern w:val="2"/>
          <w:szCs w:val="21"/>
          <w:lang w:val="en-US" w:eastAsia="zh-CN"/>
        </w:rPr>
        <w:t>2</w:t>
      </w:r>
      <w:r>
        <w:rPr>
          <w:rFonts w:hint="default" w:ascii="Times New Roman" w:hAnsi="Times New Roman" w:eastAsia="宋体" w:cs="Times New Roman"/>
          <w:color w:val="auto"/>
          <w:kern w:val="2"/>
          <w:szCs w:val="21"/>
        </w:rPr>
        <w:t>%（一年按365天计算，每年</w:t>
      </w:r>
      <w:r>
        <w:rPr>
          <w:rFonts w:hint="eastAsia" w:ascii="Times New Roman" w:hAnsi="Times New Roman" w:eastAsia="宋体" w:cs="Times New Roman"/>
          <w:color w:val="auto"/>
          <w:kern w:val="2"/>
          <w:szCs w:val="21"/>
          <w:lang w:val="en-US" w:eastAsia="zh-CN"/>
        </w:rPr>
        <w:t>7</w:t>
      </w:r>
      <w:r>
        <w:rPr>
          <w:rFonts w:hint="default" w:ascii="Times New Roman" w:hAnsi="Times New Roman" w:eastAsia="宋体" w:cs="Times New Roman"/>
          <w:color w:val="auto"/>
          <w:kern w:val="2"/>
          <w:szCs w:val="21"/>
        </w:rPr>
        <w:t>天），保修期顺延</w:t>
      </w:r>
      <w:r>
        <w:rPr>
          <w:rFonts w:hint="eastAsia" w:ascii="Times New Roman" w:hAnsi="Times New Roman" w:eastAsia="宋体" w:cs="Times New Roman"/>
          <w:color w:val="auto"/>
          <w:kern w:val="2"/>
          <w:szCs w:val="21"/>
        </w:rPr>
        <w:t>：</w:t>
      </w:r>
      <w:r>
        <w:rPr>
          <w:rFonts w:hint="default" w:ascii="Times New Roman" w:hAnsi="Times New Roman" w:eastAsia="宋体" w:cs="Times New Roman"/>
          <w:color w:val="auto"/>
          <w:kern w:val="2"/>
          <w:szCs w:val="21"/>
        </w:rPr>
        <w:t>多停机一天，延保两周。保修期满，若续保，保修费不得超过产品总价的5%（具体保修费</w:t>
      </w:r>
      <w:r>
        <w:rPr>
          <w:rFonts w:hint="eastAsia" w:ascii="Times New Roman" w:hAnsi="Times New Roman" w:eastAsia="宋体" w:cs="Times New Roman"/>
          <w:color w:val="auto"/>
          <w:kern w:val="2"/>
          <w:szCs w:val="21"/>
          <w:lang w:eastAsia="zh-CN"/>
        </w:rPr>
        <w:t>由</w:t>
      </w:r>
      <w:r>
        <w:rPr>
          <w:rFonts w:hint="default" w:ascii="Times New Roman" w:hAnsi="Times New Roman" w:eastAsia="宋体" w:cs="Times New Roman"/>
          <w:color w:val="auto"/>
          <w:kern w:val="2"/>
          <w:szCs w:val="21"/>
        </w:rPr>
        <w:t>双方另行商议）。</w:t>
      </w:r>
    </w:p>
    <w:p w14:paraId="2A7F25E2">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设备发生故障，乙方在接到甲方报修电话后1小时之内响应，3小时内到达甲方现场（若无维修站点，24小时内到达现场），48小时内修复或免费提供备用机，否则甲方可自行采取必要的措施，由此产生的风险和费用由乙方承担。如有特殊情况，乙方应立即电话通知甲方不能响应的原因，在获得甲方同意后，才可推迟响应时间。</w:t>
      </w:r>
    </w:p>
    <w:p w14:paraId="65721936">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保修期内提供每年</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次保养（质控），或制定有效保养（质控）计划，并按计划执行，每年提供保养（质控）分析报告，并经甲方工程师签字确认，留档备查</w:t>
      </w:r>
      <w:r>
        <w:rPr>
          <w:rFonts w:hint="eastAsia" w:ascii="Times New Roman" w:hAnsi="Times New Roman" w:eastAsia="宋体" w:cs="Times New Roman"/>
          <w:color w:val="auto"/>
          <w:kern w:val="2"/>
          <w:szCs w:val="21"/>
          <w:lang w:eastAsia="zh-CN"/>
        </w:rPr>
        <w:t>，</w:t>
      </w:r>
      <w:r>
        <w:rPr>
          <w:rFonts w:hint="eastAsia" w:ascii="Times New Roman" w:hAnsi="Times New Roman" w:eastAsia="宋体" w:cs="Times New Roman"/>
          <w:b/>
          <w:bCs/>
          <w:color w:val="auto"/>
          <w:kern w:val="2"/>
          <w:szCs w:val="21"/>
          <w:lang w:eastAsia="zh-CN"/>
        </w:rPr>
        <w:t>若未按合同要求提供保养服务，设备将自动延保</w:t>
      </w:r>
      <w:r>
        <w:rPr>
          <w:rFonts w:hint="eastAsia" w:ascii="Times New Roman" w:hAnsi="Times New Roman" w:eastAsia="宋体" w:cs="Times New Roman"/>
          <w:b/>
          <w:bCs/>
          <w:color w:val="auto"/>
          <w:kern w:val="2"/>
          <w:szCs w:val="21"/>
          <w:lang w:val="en-US" w:eastAsia="zh-CN"/>
        </w:rPr>
        <w:t>1年</w:t>
      </w:r>
      <w:r>
        <w:rPr>
          <w:rFonts w:hint="default" w:ascii="Times New Roman" w:hAnsi="Times New Roman" w:eastAsia="宋体" w:cs="Times New Roman"/>
          <w:color w:val="auto"/>
          <w:kern w:val="2"/>
          <w:szCs w:val="21"/>
        </w:rPr>
        <w:t>。</w:t>
      </w:r>
      <w:r>
        <w:rPr>
          <w:rFonts w:hint="default" w:ascii="Times New Roman" w:hAnsi="Times New Roman" w:eastAsia="宋体" w:cs="Times New Roman"/>
          <w:color w:val="auto"/>
          <w:kern w:val="2"/>
        </w:rPr>
        <w:t>保修期内质控或者计量检测不合格的，乙方必须免费承担校准检修服务，直至检测合格</w:t>
      </w:r>
      <w:r>
        <w:rPr>
          <w:rFonts w:hint="default" w:ascii="Times New Roman" w:hAnsi="Times New Roman" w:eastAsia="宋体" w:cs="Times New Roman"/>
          <w:color w:val="auto"/>
          <w:kern w:val="2"/>
          <w:szCs w:val="21"/>
        </w:rPr>
        <w:t>。</w:t>
      </w:r>
    </w:p>
    <w:p w14:paraId="36D37830">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无论在保修期内还是保修期外，乙方必须上门维修。出保后的维修，只收取配件成本费，免收上门费、人工费和其他工时杂</w:t>
      </w:r>
      <w:r>
        <w:rPr>
          <w:rFonts w:hint="eastAsia" w:ascii="Times New Roman" w:hAnsi="Times New Roman" w:eastAsia="宋体" w:cs="Times New Roman"/>
          <w:color w:val="auto"/>
          <w:kern w:val="2"/>
          <w:szCs w:val="21"/>
          <w:lang w:eastAsia="zh-CN"/>
        </w:rPr>
        <w:t>费</w:t>
      </w:r>
      <w:r>
        <w:rPr>
          <w:rFonts w:hint="default" w:ascii="Times New Roman" w:hAnsi="Times New Roman" w:eastAsia="宋体" w:cs="Times New Roman"/>
          <w:color w:val="auto"/>
          <w:kern w:val="2"/>
          <w:szCs w:val="21"/>
        </w:rPr>
        <w:t>。乙方工程师至甲方维修本设备，必须事先与甲方医学装备部设备维修科取得联系，并做相应登记；在维修过程中与甲方工程师共同完成维修工作。否则引起的一切责任由乙方负责。</w:t>
      </w:r>
    </w:p>
    <w:p w14:paraId="78421465">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如设备软件升级，乙方负责免费软件升级，保证软件为在国内已取得注册证认证的最新、最高版本。</w:t>
      </w:r>
    </w:p>
    <w:p w14:paraId="14D01B0A">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如有设备具有远程维修诊断功能，乙方需在签订合同前告知甲方，并按甲方要求签订保密协议及承诺书后，乙方按照甲方要求负责免费为甲方安装，并在保证数据安全的前提下进行远程操作。</w:t>
      </w:r>
    </w:p>
    <w:p w14:paraId="3C903CFC">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如乙方提供的设备设有维修软件密码，乙方保证无条件地为甲方免费打开，直至最底层维修模式。</w:t>
      </w:r>
    </w:p>
    <w:p w14:paraId="4D8FF83B">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若该设备涉及网络问题，甲方只负责提供一个网络接口，设备内部的局域网建设由乙方负责提供。</w:t>
      </w:r>
    </w:p>
    <w:p w14:paraId="0AE7A958">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乙方须免费开放所投产品的所有输入输出接口，能与</w:t>
      </w:r>
      <w:r>
        <w:rPr>
          <w:rFonts w:hint="eastAsia" w:ascii="Times New Roman" w:hAnsi="Times New Roman" w:eastAsia="宋体" w:cs="Times New Roman"/>
          <w:color w:val="auto"/>
          <w:kern w:val="2"/>
          <w:szCs w:val="21"/>
        </w:rPr>
        <w:t>甲方</w:t>
      </w:r>
      <w:r>
        <w:rPr>
          <w:rFonts w:hint="default" w:ascii="Times New Roman" w:hAnsi="Times New Roman" w:eastAsia="宋体" w:cs="Times New Roman"/>
          <w:color w:val="auto"/>
          <w:kern w:val="2"/>
          <w:szCs w:val="21"/>
        </w:rPr>
        <w:t>现有网络及信息系统对接。如接入第三方系统产生费用，该费用由乙方承担。</w:t>
      </w:r>
    </w:p>
    <w:p w14:paraId="4283E74C">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eastAsia" w:ascii="Times New Roman" w:hAnsi="Times New Roman" w:eastAsia="宋体" w:cs="Times New Roman"/>
          <w:color w:val="auto"/>
          <w:kern w:val="2"/>
          <w:szCs w:val="21"/>
        </w:rPr>
        <w:t>乙方承诺在设备使用期间，该设备对应专机专用耗材保证无条件正常供应，若发生因耗材停产造成设备无法使用的情况，由乙方承担该设备停用开始时的折旧费。</w:t>
      </w:r>
    </w:p>
    <w:p w14:paraId="1A606F66">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第七条  违约责任</w:t>
      </w:r>
    </w:p>
    <w:p w14:paraId="7689F0B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自本协议生效之日起，双方应严格依约</w:t>
      </w:r>
      <w:r>
        <w:rPr>
          <w:rFonts w:hint="eastAsia" w:ascii="Times New Roman" w:hAnsi="Times New Roman" w:eastAsia="宋体" w:cs="Times New Roman"/>
          <w:color w:val="auto"/>
          <w:kern w:val="2"/>
          <w:szCs w:val="21"/>
          <w:lang w:eastAsia="zh-CN"/>
        </w:rPr>
        <w:t>履</w:t>
      </w:r>
      <w:r>
        <w:rPr>
          <w:rFonts w:hint="default" w:ascii="Times New Roman" w:hAnsi="Times New Roman" w:eastAsia="宋体" w:cs="Times New Roman"/>
          <w:color w:val="auto"/>
          <w:kern w:val="2"/>
          <w:szCs w:val="21"/>
        </w:rPr>
        <w:t>行。若任何一方违反本协议规定，应赔偿由此给其他方造成的损失。</w:t>
      </w:r>
    </w:p>
    <w:p w14:paraId="0C86B30C">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果乙方没有按照合同规定时间交货的，每逾期一日，乙方应按逾期交付货物价款总值的1%计算，向甲方支付逾期交货违约金，但该违约金总额不超过合同总金额的30%。乙方延期交货10日以上的，则视为乙方不能交货，甲方有权因此解除本合同。</w:t>
      </w:r>
    </w:p>
    <w:p w14:paraId="0DF7CA40">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乙方向甲方提供假冒伪劣产品的，乙方按本批次所购产品金额的10倍向甲方支付</w:t>
      </w:r>
      <w:r>
        <w:rPr>
          <w:rFonts w:hint="eastAsia" w:ascii="Times New Roman" w:hAnsi="Times New Roman" w:eastAsia="宋体" w:cs="Times New Roman"/>
          <w:color w:val="auto"/>
          <w:kern w:val="2"/>
          <w:szCs w:val="21"/>
        </w:rPr>
        <w:t>赔偿</w:t>
      </w:r>
      <w:r>
        <w:rPr>
          <w:rFonts w:hint="default" w:ascii="Times New Roman" w:hAnsi="Times New Roman" w:eastAsia="宋体" w:cs="Times New Roman"/>
          <w:color w:val="auto"/>
          <w:kern w:val="2"/>
          <w:szCs w:val="21"/>
        </w:rPr>
        <w:t>金。</w:t>
      </w:r>
    </w:p>
    <w:p w14:paraId="5E809960">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乙方其他违约行为的，乙方</w:t>
      </w:r>
      <w:r>
        <w:rPr>
          <w:rFonts w:hint="eastAsia" w:ascii="Times New Roman" w:hAnsi="Times New Roman" w:eastAsia="宋体" w:cs="Times New Roman"/>
          <w:color w:val="auto"/>
          <w:kern w:val="2"/>
          <w:szCs w:val="21"/>
        </w:rPr>
        <w:t>自愿</w:t>
      </w:r>
      <w:r>
        <w:rPr>
          <w:rFonts w:hint="default" w:ascii="Times New Roman" w:hAnsi="Times New Roman" w:eastAsia="宋体" w:cs="Times New Roman"/>
          <w:color w:val="auto"/>
          <w:kern w:val="2"/>
          <w:szCs w:val="21"/>
        </w:rPr>
        <w:t>按违约期内甲方向乙方购货总额的30%计算，向甲方支付违约金。如果乙方违约，在收到甲方通知后的10日内没有或拒不承担违约责任的，</w:t>
      </w:r>
      <w:r>
        <w:rPr>
          <w:rFonts w:hint="eastAsia" w:ascii="Times New Roman" w:hAnsi="Times New Roman" w:eastAsia="宋体" w:cs="Times New Roman"/>
          <w:color w:val="auto"/>
          <w:kern w:val="2"/>
          <w:szCs w:val="21"/>
        </w:rPr>
        <w:t>乙方同意</w:t>
      </w:r>
      <w:r>
        <w:rPr>
          <w:rFonts w:hint="default" w:ascii="Times New Roman" w:hAnsi="Times New Roman" w:eastAsia="宋体" w:cs="Times New Roman"/>
          <w:color w:val="auto"/>
          <w:kern w:val="2"/>
          <w:szCs w:val="21"/>
        </w:rPr>
        <w:t>则甲方有权从尚</w:t>
      </w:r>
      <w:r>
        <w:rPr>
          <w:rFonts w:hint="eastAsia" w:ascii="Times New Roman" w:hAnsi="Times New Roman" w:eastAsia="宋体" w:cs="Times New Roman"/>
          <w:color w:val="auto"/>
          <w:kern w:val="2"/>
          <w:szCs w:val="21"/>
          <w:lang w:eastAsia="zh-CN"/>
        </w:rPr>
        <w:t>未</w:t>
      </w:r>
      <w:r>
        <w:rPr>
          <w:rFonts w:hint="default" w:ascii="Times New Roman" w:hAnsi="Times New Roman" w:eastAsia="宋体" w:cs="Times New Roman"/>
          <w:color w:val="auto"/>
          <w:kern w:val="2"/>
          <w:szCs w:val="21"/>
        </w:rPr>
        <w:t>支付乙方的购货价款中扣回违约金。</w:t>
      </w:r>
    </w:p>
    <w:p w14:paraId="2E9F8E3E">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因乙方的违约行为给甲方造成损失的（包括所有直接和间</w:t>
      </w:r>
      <w:r>
        <w:rPr>
          <w:rFonts w:hint="eastAsia" w:ascii="Times New Roman" w:hAnsi="Times New Roman" w:eastAsia="宋体" w:cs="Times New Roman"/>
          <w:color w:val="auto"/>
          <w:kern w:val="2"/>
          <w:szCs w:val="21"/>
          <w:lang w:eastAsia="zh-CN"/>
        </w:rPr>
        <w:t>接</w:t>
      </w:r>
      <w:r>
        <w:rPr>
          <w:rFonts w:hint="default" w:ascii="Times New Roman" w:hAnsi="Times New Roman" w:eastAsia="宋体" w:cs="Times New Roman"/>
          <w:color w:val="auto"/>
          <w:kern w:val="2"/>
          <w:szCs w:val="21"/>
        </w:rPr>
        <w:t>损失），如果违约金不足以补偿该损失部分的，甲方有权继续要求乙方赔偿甲方所有实际损失，并保留</w:t>
      </w:r>
      <w:r>
        <w:rPr>
          <w:rFonts w:hint="eastAsia" w:ascii="Times New Roman" w:hAnsi="Times New Roman" w:eastAsia="宋体" w:cs="Times New Roman"/>
          <w:color w:val="auto"/>
          <w:kern w:val="2"/>
          <w:szCs w:val="21"/>
        </w:rPr>
        <w:t>追偿</w:t>
      </w:r>
      <w:r>
        <w:rPr>
          <w:rFonts w:hint="default" w:ascii="Times New Roman" w:hAnsi="Times New Roman" w:eastAsia="宋体" w:cs="Times New Roman"/>
          <w:color w:val="auto"/>
          <w:kern w:val="2"/>
          <w:szCs w:val="21"/>
        </w:rPr>
        <w:t>的权利。</w:t>
      </w:r>
    </w:p>
    <w:p w14:paraId="2ECD16B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乙方对本合同所约定的设备价格负责，如果产生与设备价值、成本相关的任何法律纠纷由乙方承担，甲方不承担任何相关法律责任。</w:t>
      </w:r>
    </w:p>
    <w:p w14:paraId="1D3160F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提供的商品、服务不存在任何法律纠纷，甲方在使用该商品或服务以及其中的任何一部分时，不侵犯任何的专利权、商标权、工业设计权或其他知识产权，如收到来自第三方的侵权诉讼或索赔，所有责任及由此造成的损失由乙方承担。</w:t>
      </w:r>
    </w:p>
    <w:p w14:paraId="1C0D8E95">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以上各项交付的违约金并不影响乙方继续履行本协议的其他各项义务。</w:t>
      </w:r>
    </w:p>
    <w:p w14:paraId="4BEE6708">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乙方应保证甲方在使用、接受本合同货物和服务或其任何一部分时不受第三方提出侵犯其专利权、版权、商标权和工业设计权等知识产权的起诉。一旦出现侵权，由乙方负全部责任</w:t>
      </w:r>
      <w:r>
        <w:rPr>
          <w:rFonts w:hint="eastAsia" w:ascii="Times New Roman" w:hAnsi="Times New Roman" w:eastAsia="宋体" w:cs="Times New Roman"/>
          <w:color w:val="auto"/>
          <w:kern w:val="2"/>
          <w:szCs w:val="21"/>
        </w:rPr>
        <w:t>，由此导致的甲方损失包括但不限于诉讼费、鉴定费、侵权赔偿、律师费等费用应当由乙方赔偿给甲方</w:t>
      </w:r>
      <w:r>
        <w:rPr>
          <w:rFonts w:hint="default" w:ascii="Times New Roman" w:hAnsi="Times New Roman" w:eastAsia="宋体" w:cs="Times New Roman"/>
          <w:color w:val="auto"/>
          <w:kern w:val="2"/>
          <w:szCs w:val="21"/>
        </w:rPr>
        <w:t>。</w:t>
      </w:r>
    </w:p>
    <w:p w14:paraId="11F9FEF5">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第八条  合同解除与终止</w:t>
      </w:r>
    </w:p>
    <w:p w14:paraId="0B6C387E">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本合同签订后，任何一方无正当理由均不得单方解除合同，否则应按照本合同总价款的30%承担违约责任。</w:t>
      </w:r>
    </w:p>
    <w:p w14:paraId="755FC2BB">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一方违约，经他方催告并在合理期限内仍未履行或整改到位的，守约方有权单方解除合同，并要求违约方按照本合同总价款的30%承担违约责任。合同解除文件自实际送达之日起生效，如发生拒收，则自合同解除文件向本合同中记载的甲乙双方联系地址发出之日起生效。</w:t>
      </w:r>
    </w:p>
    <w:p w14:paraId="11E37ABB">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任何一方由于下列原因而导致不能或暂时不能履行全部或部分合同义务的，不负责任：水灾、火灾、地震、干</w:t>
      </w:r>
      <w:r>
        <w:rPr>
          <w:rFonts w:hint="eastAsia" w:ascii="Times New Roman" w:hAnsi="Times New Roman" w:eastAsia="宋体" w:cs="Times New Roman"/>
          <w:color w:val="auto"/>
          <w:kern w:val="2"/>
          <w:szCs w:val="21"/>
          <w:lang w:eastAsia="zh-CN"/>
        </w:rPr>
        <w:t>旱</w:t>
      </w:r>
      <w:r>
        <w:rPr>
          <w:rFonts w:hint="default" w:ascii="Times New Roman" w:hAnsi="Times New Roman" w:eastAsia="宋体" w:cs="Times New Roman"/>
          <w:color w:val="auto"/>
          <w:kern w:val="2"/>
          <w:szCs w:val="21"/>
        </w:rPr>
        <w:t>、战争或其他任何在签约时不能预料、无法控制且不能避免和克服的事件。但受不可抗力影响的一方，应尽快地将所发生的事件通知对方，并应在事件发生后15天内将有关机构出具的不可抗力事件的证明寄交对方。</w:t>
      </w:r>
    </w:p>
    <w:p w14:paraId="524EA6D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第九条 保密条款</w:t>
      </w:r>
    </w:p>
    <w:p w14:paraId="48D49299">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对于本协议的签订、本协议的内容、本协议的履行以及因履行本协议而获知的甲方的技术、商务、管理（及甲方患者的）等相关信息应承担保密义务。未经甲方书面同意，不得向任何第三方泄露。法律、行政法规另有规定者除外。</w:t>
      </w:r>
    </w:p>
    <w:p w14:paraId="1B2BB051">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双方应确保己方人员</w:t>
      </w:r>
      <w:r>
        <w:rPr>
          <w:rFonts w:hint="eastAsia" w:ascii="Times New Roman" w:hAnsi="Times New Roman" w:eastAsia="宋体" w:cs="Times New Roman"/>
          <w:color w:val="auto"/>
          <w:kern w:val="2"/>
          <w:szCs w:val="21"/>
          <w:lang w:eastAsia="zh-CN"/>
        </w:rPr>
        <w:t>遵</w:t>
      </w:r>
      <w:r>
        <w:rPr>
          <w:rFonts w:hint="default" w:ascii="Times New Roman" w:hAnsi="Times New Roman" w:eastAsia="宋体" w:cs="Times New Roman"/>
          <w:color w:val="auto"/>
          <w:kern w:val="2"/>
          <w:szCs w:val="21"/>
        </w:rPr>
        <w:t>守本条约定保密义务，否则由此产生的一切后果由违约方承担责任。</w:t>
      </w:r>
    </w:p>
    <w:p w14:paraId="1FF5A695">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本条约定在本协议解除、终止或被认为无效后仍然有效。</w:t>
      </w:r>
    </w:p>
    <w:p w14:paraId="02FA5F21">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第十条 其他</w:t>
      </w:r>
    </w:p>
    <w:p w14:paraId="10888047">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双方应本着友好协商的原则，解决与本合同有关的一切争议。如一方不愿协商或协商开始后30日内无法解决，应提交甲方所在地人民法院裁决。</w:t>
      </w:r>
    </w:p>
    <w:p w14:paraId="659CCE3E">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有关本采购项目的采购文件以及相关函件（如澄清函、确认函等）、供应商投标文件均构成本合同不可分割的一部分，与本合同具有同等法律效力。</w:t>
      </w:r>
    </w:p>
    <w:p w14:paraId="3C487A3E">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本合同未尽事宜及变更，应由甲乙双方另行签订书面补充协议确定。</w:t>
      </w:r>
    </w:p>
    <w:p w14:paraId="538C59A0">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本合同一式叁份，经双方签字盖章并加盖骑缝章后生效。甲方执贰份，乙方执壹份，具有同等效力。</w:t>
      </w:r>
    </w:p>
    <w:p w14:paraId="492F349C">
      <w:pPr>
        <w:spacing w:line="360" w:lineRule="auto"/>
        <w:ind w:firstLine="420" w:firstLineChars="200"/>
        <w:rPr>
          <w:rFonts w:hint="default" w:ascii="Times New Roman" w:hAnsi="Times New Roman" w:eastAsia="宋体" w:cs="Times New Roman"/>
          <w:color w:val="auto"/>
          <w:kern w:val="2"/>
        </w:r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2"/>
        <w:gridCol w:w="4250"/>
      </w:tblGrid>
      <w:tr w14:paraId="3BA4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4643" w:type="dxa"/>
            <w:tcBorders>
              <w:top w:val="nil"/>
              <w:left w:val="nil"/>
              <w:bottom w:val="nil"/>
              <w:right w:val="nil"/>
            </w:tcBorders>
            <w:noWrap w:val="0"/>
            <w:vAlign w:val="top"/>
          </w:tcPr>
          <w:p w14:paraId="583BFFBB">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甲方（盖章）：南京市江宁医院</w:t>
            </w:r>
          </w:p>
        </w:tc>
        <w:tc>
          <w:tcPr>
            <w:tcW w:w="4643" w:type="dxa"/>
            <w:tcBorders>
              <w:top w:val="nil"/>
              <w:left w:val="nil"/>
              <w:bottom w:val="nil"/>
              <w:right w:val="nil"/>
            </w:tcBorders>
            <w:noWrap w:val="0"/>
            <w:vAlign w:val="top"/>
          </w:tcPr>
          <w:p w14:paraId="686F6C7E">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乙方（盖章）：</w:t>
            </w:r>
          </w:p>
        </w:tc>
      </w:tr>
      <w:tr w14:paraId="12B0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643" w:type="dxa"/>
            <w:tcBorders>
              <w:top w:val="nil"/>
              <w:left w:val="nil"/>
              <w:bottom w:val="nil"/>
              <w:right w:val="nil"/>
            </w:tcBorders>
            <w:noWrap w:val="0"/>
            <w:vAlign w:val="top"/>
          </w:tcPr>
          <w:p w14:paraId="72FAB7ED">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地址：江宁区东山街道湖山路169号</w:t>
            </w:r>
          </w:p>
        </w:tc>
        <w:tc>
          <w:tcPr>
            <w:tcW w:w="4643" w:type="dxa"/>
            <w:tcBorders>
              <w:top w:val="nil"/>
              <w:left w:val="nil"/>
              <w:bottom w:val="nil"/>
              <w:right w:val="nil"/>
            </w:tcBorders>
            <w:noWrap w:val="0"/>
            <w:vAlign w:val="top"/>
          </w:tcPr>
          <w:p w14:paraId="7914553A">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地址：</w:t>
            </w:r>
          </w:p>
        </w:tc>
      </w:tr>
      <w:tr w14:paraId="5A34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1A2F211B">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电话：</w:t>
            </w:r>
            <w:r>
              <w:rPr>
                <w:rFonts w:hint="eastAsia" w:ascii="Times New Roman" w:hAnsi="Times New Roman" w:eastAsia="宋体" w:cs="Times New Roman"/>
                <w:b/>
                <w:bCs/>
                <w:color w:val="auto"/>
                <w:kern w:val="2"/>
                <w:szCs w:val="21"/>
                <w:lang w:val="en-US" w:eastAsia="zh-CN"/>
              </w:rPr>
              <w:t>025-</w:t>
            </w:r>
            <w:r>
              <w:rPr>
                <w:rFonts w:hint="default" w:ascii="Times New Roman" w:hAnsi="Times New Roman" w:eastAsia="宋体" w:cs="Times New Roman"/>
                <w:b/>
                <w:bCs/>
                <w:color w:val="auto"/>
                <w:kern w:val="2"/>
                <w:szCs w:val="21"/>
              </w:rPr>
              <w:t>52087332</w:t>
            </w:r>
          </w:p>
        </w:tc>
        <w:tc>
          <w:tcPr>
            <w:tcW w:w="4643" w:type="dxa"/>
            <w:tcBorders>
              <w:top w:val="nil"/>
              <w:left w:val="nil"/>
              <w:bottom w:val="nil"/>
              <w:right w:val="nil"/>
            </w:tcBorders>
            <w:noWrap w:val="0"/>
            <w:vAlign w:val="top"/>
          </w:tcPr>
          <w:p w14:paraId="3F93A46A">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电话：</w:t>
            </w:r>
          </w:p>
        </w:tc>
      </w:tr>
      <w:tr w14:paraId="4367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trPr>
        <w:tc>
          <w:tcPr>
            <w:tcW w:w="4643" w:type="dxa"/>
            <w:tcBorders>
              <w:top w:val="nil"/>
              <w:left w:val="nil"/>
              <w:bottom w:val="nil"/>
              <w:right w:val="nil"/>
            </w:tcBorders>
            <w:noWrap w:val="0"/>
            <w:vAlign w:val="top"/>
          </w:tcPr>
          <w:p w14:paraId="079AE901">
            <w:pPr>
              <w:spacing w:line="360" w:lineRule="auto"/>
              <w:rPr>
                <w:rFonts w:hint="default" w:ascii="Times New Roman" w:hAnsi="Times New Roman" w:eastAsia="宋体" w:cs="Times New Roman"/>
                <w:b/>
                <w:bCs/>
                <w:color w:val="auto"/>
                <w:kern w:val="2"/>
                <w:szCs w:val="21"/>
              </w:rPr>
            </w:pPr>
            <w:r>
              <w:rPr>
                <w:rFonts w:hint="eastAsia" w:ascii="Times New Roman" w:hAnsi="Times New Roman" w:eastAsia="宋体" w:cs="Times New Roman"/>
                <w:b/>
                <w:bCs/>
                <w:color w:val="auto"/>
                <w:kern w:val="2"/>
                <w:szCs w:val="21"/>
                <w:lang w:eastAsia="zh-CN"/>
              </w:rPr>
              <w:t>法定代表人</w:t>
            </w:r>
            <w:r>
              <w:rPr>
                <w:rFonts w:hint="default" w:ascii="Times New Roman" w:hAnsi="Times New Roman" w:eastAsia="宋体" w:cs="Times New Roman"/>
                <w:b/>
                <w:bCs/>
                <w:color w:val="auto"/>
                <w:kern w:val="2"/>
                <w:szCs w:val="21"/>
              </w:rPr>
              <w:t>（签字）：</w:t>
            </w:r>
          </w:p>
        </w:tc>
        <w:tc>
          <w:tcPr>
            <w:tcW w:w="4643" w:type="dxa"/>
            <w:tcBorders>
              <w:top w:val="nil"/>
              <w:left w:val="nil"/>
              <w:bottom w:val="nil"/>
              <w:right w:val="nil"/>
            </w:tcBorders>
            <w:noWrap w:val="0"/>
            <w:vAlign w:val="top"/>
          </w:tcPr>
          <w:p w14:paraId="3B51E3F6">
            <w:pPr>
              <w:spacing w:line="360" w:lineRule="auto"/>
              <w:rPr>
                <w:rFonts w:hint="default" w:ascii="Times New Roman" w:hAnsi="Times New Roman" w:eastAsia="宋体" w:cs="Times New Roman"/>
                <w:b/>
                <w:bCs/>
                <w:color w:val="auto"/>
                <w:kern w:val="2"/>
                <w:szCs w:val="21"/>
              </w:rPr>
            </w:pPr>
            <w:r>
              <w:rPr>
                <w:rFonts w:hint="eastAsia" w:ascii="Times New Roman" w:hAnsi="Times New Roman" w:eastAsia="宋体" w:cs="Times New Roman"/>
                <w:b/>
                <w:bCs/>
                <w:color w:val="auto"/>
                <w:kern w:val="2"/>
                <w:szCs w:val="21"/>
                <w:lang w:eastAsia="zh-CN"/>
              </w:rPr>
              <w:t>法定代表人</w:t>
            </w:r>
            <w:r>
              <w:rPr>
                <w:rFonts w:hint="default" w:ascii="Times New Roman" w:hAnsi="Times New Roman" w:eastAsia="宋体" w:cs="Times New Roman"/>
                <w:b/>
                <w:bCs/>
                <w:color w:val="auto"/>
                <w:kern w:val="2"/>
                <w:szCs w:val="21"/>
              </w:rPr>
              <w:t>（签字）：</w:t>
            </w:r>
          </w:p>
        </w:tc>
      </w:tr>
      <w:tr w14:paraId="098D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trPr>
        <w:tc>
          <w:tcPr>
            <w:tcW w:w="4643" w:type="dxa"/>
            <w:tcBorders>
              <w:top w:val="nil"/>
              <w:left w:val="nil"/>
              <w:bottom w:val="nil"/>
              <w:right w:val="nil"/>
            </w:tcBorders>
            <w:noWrap w:val="0"/>
            <w:vAlign w:val="top"/>
          </w:tcPr>
          <w:p w14:paraId="5670D919">
            <w:pPr>
              <w:spacing w:line="360" w:lineRule="auto"/>
              <w:rPr>
                <w:rFonts w:hint="eastAsia" w:ascii="Times New Roman" w:hAnsi="Times New Roman" w:eastAsia="宋体" w:cs="Times New Roman"/>
                <w:b/>
                <w:bCs/>
                <w:color w:val="auto"/>
                <w:kern w:val="2"/>
                <w:szCs w:val="21"/>
                <w:lang w:eastAsia="zh-CN"/>
              </w:rPr>
            </w:pPr>
          </w:p>
        </w:tc>
        <w:tc>
          <w:tcPr>
            <w:tcW w:w="4643" w:type="dxa"/>
            <w:tcBorders>
              <w:top w:val="nil"/>
              <w:left w:val="nil"/>
              <w:bottom w:val="nil"/>
              <w:right w:val="nil"/>
            </w:tcBorders>
            <w:noWrap w:val="0"/>
            <w:vAlign w:val="top"/>
          </w:tcPr>
          <w:p w14:paraId="2AEE95CD">
            <w:pPr>
              <w:spacing w:line="360" w:lineRule="auto"/>
              <w:rPr>
                <w:rFonts w:hint="eastAsia" w:ascii="Times New Roman" w:hAnsi="Times New Roman" w:eastAsia="宋体" w:cs="Times New Roman"/>
                <w:b/>
                <w:bCs/>
                <w:color w:val="auto"/>
                <w:kern w:val="2"/>
                <w:szCs w:val="21"/>
                <w:lang w:eastAsia="zh-CN"/>
              </w:rPr>
            </w:pPr>
            <w:r>
              <w:rPr>
                <w:rFonts w:hint="eastAsia" w:ascii="Times New Roman" w:hAnsi="Times New Roman" w:eastAsia="宋体" w:cs="Times New Roman"/>
                <w:b/>
                <w:bCs/>
                <w:color w:val="auto"/>
                <w:kern w:val="2"/>
                <w:szCs w:val="21"/>
                <w:lang w:eastAsia="zh-CN"/>
              </w:rPr>
              <w:t>手机：</w:t>
            </w:r>
          </w:p>
        </w:tc>
      </w:tr>
      <w:tr w14:paraId="151A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4643" w:type="dxa"/>
            <w:tcBorders>
              <w:top w:val="nil"/>
              <w:left w:val="nil"/>
              <w:bottom w:val="nil"/>
              <w:right w:val="nil"/>
            </w:tcBorders>
            <w:noWrap w:val="0"/>
            <w:vAlign w:val="top"/>
          </w:tcPr>
          <w:p w14:paraId="419A5647">
            <w:pPr>
              <w:spacing w:line="360" w:lineRule="auto"/>
              <w:rPr>
                <w:rFonts w:hint="default" w:ascii="Times New Roman" w:hAnsi="Times New Roman" w:eastAsia="宋体" w:cs="Times New Roman"/>
                <w:b/>
                <w:bCs/>
                <w:color w:val="auto"/>
                <w:kern w:val="2"/>
                <w:szCs w:val="21"/>
                <w:lang w:val="en-US" w:eastAsia="zh-CN"/>
              </w:rPr>
            </w:pPr>
            <w:r>
              <w:rPr>
                <w:rFonts w:hint="eastAsia" w:ascii="Times New Roman" w:hAnsi="Times New Roman" w:eastAsia="宋体" w:cs="Times New Roman"/>
                <w:b/>
                <w:bCs/>
                <w:color w:val="auto"/>
                <w:kern w:val="2"/>
                <w:szCs w:val="21"/>
                <w:lang w:eastAsia="zh-CN"/>
              </w:rPr>
              <w:t>经办人（签字）：</w:t>
            </w:r>
          </w:p>
        </w:tc>
        <w:tc>
          <w:tcPr>
            <w:tcW w:w="4643" w:type="dxa"/>
            <w:tcBorders>
              <w:top w:val="nil"/>
              <w:left w:val="nil"/>
              <w:bottom w:val="nil"/>
              <w:right w:val="nil"/>
            </w:tcBorders>
            <w:noWrap w:val="0"/>
            <w:vAlign w:val="top"/>
          </w:tcPr>
          <w:p w14:paraId="6412EFA2">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项目经理（签字）：</w:t>
            </w:r>
          </w:p>
        </w:tc>
      </w:tr>
      <w:tr w14:paraId="40CA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trPr>
        <w:tc>
          <w:tcPr>
            <w:tcW w:w="4643" w:type="dxa"/>
            <w:tcBorders>
              <w:top w:val="nil"/>
              <w:left w:val="nil"/>
              <w:bottom w:val="nil"/>
              <w:right w:val="nil"/>
            </w:tcBorders>
            <w:noWrap w:val="0"/>
            <w:vAlign w:val="top"/>
          </w:tcPr>
          <w:p w14:paraId="2E0342FA">
            <w:pPr>
              <w:spacing w:line="360" w:lineRule="auto"/>
              <w:rPr>
                <w:rFonts w:hint="default" w:ascii="Times New Roman" w:hAnsi="Times New Roman" w:eastAsia="宋体" w:cs="Times New Roman"/>
                <w:b/>
                <w:bCs/>
                <w:color w:val="auto"/>
                <w:kern w:val="2"/>
                <w:szCs w:val="21"/>
                <w:lang w:val="en-US" w:eastAsia="zh-CN"/>
              </w:rPr>
            </w:pPr>
          </w:p>
        </w:tc>
        <w:tc>
          <w:tcPr>
            <w:tcW w:w="4643" w:type="dxa"/>
            <w:tcBorders>
              <w:top w:val="nil"/>
              <w:left w:val="nil"/>
              <w:bottom w:val="nil"/>
              <w:right w:val="nil"/>
            </w:tcBorders>
            <w:noWrap w:val="0"/>
            <w:vAlign w:val="top"/>
          </w:tcPr>
          <w:p w14:paraId="723A1218">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手机：</w:t>
            </w:r>
          </w:p>
        </w:tc>
      </w:tr>
      <w:tr w14:paraId="6E66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4643" w:type="dxa"/>
            <w:tcBorders>
              <w:top w:val="nil"/>
              <w:left w:val="nil"/>
              <w:bottom w:val="nil"/>
              <w:right w:val="nil"/>
            </w:tcBorders>
            <w:noWrap w:val="0"/>
            <w:vAlign w:val="top"/>
          </w:tcPr>
          <w:p w14:paraId="56830D80">
            <w:pPr>
              <w:spacing w:line="360" w:lineRule="auto"/>
              <w:rPr>
                <w:rFonts w:hint="default" w:ascii="Times New Roman" w:hAnsi="Times New Roman" w:eastAsia="宋体" w:cs="Times New Roman"/>
                <w:b/>
                <w:bCs/>
                <w:color w:val="auto"/>
                <w:kern w:val="2"/>
                <w:szCs w:val="21"/>
              </w:rPr>
            </w:pPr>
          </w:p>
        </w:tc>
        <w:tc>
          <w:tcPr>
            <w:tcW w:w="4643" w:type="dxa"/>
            <w:tcBorders>
              <w:top w:val="nil"/>
              <w:left w:val="nil"/>
              <w:bottom w:val="nil"/>
              <w:right w:val="nil"/>
            </w:tcBorders>
            <w:noWrap w:val="0"/>
            <w:vAlign w:val="top"/>
          </w:tcPr>
          <w:p w14:paraId="2E881CE7">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开户行：</w:t>
            </w:r>
          </w:p>
        </w:tc>
      </w:tr>
      <w:tr w14:paraId="1555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2A7C5EB9">
            <w:pPr>
              <w:spacing w:line="360" w:lineRule="auto"/>
              <w:rPr>
                <w:rFonts w:hint="default" w:ascii="Times New Roman" w:hAnsi="Times New Roman" w:eastAsia="宋体" w:cs="Times New Roman"/>
                <w:b/>
                <w:bCs/>
                <w:color w:val="auto"/>
                <w:kern w:val="2"/>
                <w:szCs w:val="21"/>
              </w:rPr>
            </w:pPr>
          </w:p>
        </w:tc>
        <w:tc>
          <w:tcPr>
            <w:tcW w:w="4643" w:type="dxa"/>
            <w:tcBorders>
              <w:top w:val="nil"/>
              <w:left w:val="nil"/>
              <w:bottom w:val="nil"/>
              <w:right w:val="nil"/>
            </w:tcBorders>
            <w:noWrap w:val="0"/>
            <w:vAlign w:val="top"/>
          </w:tcPr>
          <w:p w14:paraId="0593F659">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账号：</w:t>
            </w:r>
          </w:p>
        </w:tc>
      </w:tr>
      <w:tr w14:paraId="3577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4643" w:type="dxa"/>
            <w:tcBorders>
              <w:top w:val="nil"/>
              <w:left w:val="nil"/>
              <w:bottom w:val="nil"/>
              <w:right w:val="nil"/>
            </w:tcBorders>
            <w:noWrap w:val="0"/>
            <w:vAlign w:val="top"/>
          </w:tcPr>
          <w:p w14:paraId="498CB7D4">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 xml:space="preserve">日期：      年   </w:t>
            </w:r>
            <w:r>
              <w:rPr>
                <w:rFonts w:hint="eastAsia" w:ascii="Times New Roman" w:hAnsi="Times New Roman" w:eastAsia="宋体" w:cs="Times New Roman"/>
                <w:b/>
                <w:bCs/>
                <w:color w:val="auto"/>
                <w:kern w:val="2"/>
                <w:szCs w:val="21"/>
              </w:rPr>
              <w:t xml:space="preserve"> </w:t>
            </w:r>
            <w:r>
              <w:rPr>
                <w:rFonts w:hint="default" w:ascii="Times New Roman" w:hAnsi="Times New Roman" w:eastAsia="宋体" w:cs="Times New Roman"/>
                <w:b/>
                <w:bCs/>
                <w:color w:val="auto"/>
                <w:kern w:val="2"/>
                <w:szCs w:val="21"/>
              </w:rPr>
              <w:t xml:space="preserve">月   </w:t>
            </w:r>
            <w:r>
              <w:rPr>
                <w:rFonts w:hint="eastAsia" w:ascii="Times New Roman" w:hAnsi="Times New Roman" w:eastAsia="宋体" w:cs="Times New Roman"/>
                <w:b/>
                <w:bCs/>
                <w:color w:val="auto"/>
                <w:kern w:val="2"/>
                <w:szCs w:val="21"/>
              </w:rPr>
              <w:t xml:space="preserve"> </w:t>
            </w:r>
            <w:r>
              <w:rPr>
                <w:rFonts w:hint="default" w:ascii="Times New Roman" w:hAnsi="Times New Roman" w:eastAsia="宋体" w:cs="Times New Roman"/>
                <w:b/>
                <w:bCs/>
                <w:color w:val="auto"/>
                <w:kern w:val="2"/>
                <w:szCs w:val="21"/>
              </w:rPr>
              <w:t>日</w:t>
            </w:r>
          </w:p>
        </w:tc>
        <w:tc>
          <w:tcPr>
            <w:tcW w:w="4643" w:type="dxa"/>
            <w:tcBorders>
              <w:top w:val="nil"/>
              <w:left w:val="nil"/>
              <w:bottom w:val="nil"/>
              <w:right w:val="nil"/>
            </w:tcBorders>
            <w:noWrap w:val="0"/>
            <w:vAlign w:val="top"/>
          </w:tcPr>
          <w:p w14:paraId="298AD69B">
            <w:pPr>
              <w:spacing w:line="360" w:lineRule="auto"/>
              <w:rPr>
                <w:rFonts w:hint="default" w:ascii="Times New Roman" w:hAnsi="Times New Roman" w:eastAsia="宋体" w:cs="Times New Roman"/>
                <w:b/>
                <w:bCs/>
                <w:color w:val="auto"/>
                <w:kern w:val="2"/>
                <w:szCs w:val="21"/>
              </w:rPr>
            </w:pPr>
          </w:p>
        </w:tc>
      </w:tr>
    </w:tbl>
    <w:p w14:paraId="273D6C3B">
      <w:pPr>
        <w:spacing w:line="240" w:lineRule="auto"/>
        <w:ind w:left="-50" w:leftChars="-95" w:hanging="149" w:hangingChars="71"/>
        <w:rPr>
          <w:rFonts w:hint="eastAsia" w:ascii="Times New Roman" w:hAnsi="Times New Roman" w:eastAsia="新宋体" w:cs="Times New Roman"/>
          <w:color w:val="auto"/>
          <w:kern w:val="2"/>
          <w:szCs w:val="21"/>
          <w:lang w:eastAsia="zh-CN"/>
        </w:rPr>
      </w:pPr>
      <w:r>
        <w:rPr>
          <w:rFonts w:hint="default" w:ascii="Times New Roman" w:hAnsi="Times New Roman" w:eastAsia="新宋体" w:cs="Times New Roman"/>
          <w:color w:val="auto"/>
          <w:kern w:val="2"/>
          <w:szCs w:val="21"/>
        </w:rPr>
        <w:t>附件1：设备配置清单</w:t>
      </w:r>
      <w:r>
        <w:rPr>
          <w:rFonts w:hint="eastAsia" w:ascii="Times New Roman" w:hAnsi="Times New Roman" w:eastAsia="新宋体" w:cs="Times New Roman"/>
          <w:color w:val="auto"/>
          <w:kern w:val="2"/>
          <w:szCs w:val="21"/>
          <w:lang w:eastAsia="zh-CN"/>
        </w:rPr>
        <w:t>、设备配套耗材</w:t>
      </w:r>
      <w:r>
        <w:rPr>
          <w:rFonts w:hint="eastAsia" w:ascii="Times New Roman" w:hAnsi="Times New Roman" w:eastAsia="新宋体" w:cs="Times New Roman"/>
          <w:color w:val="auto"/>
          <w:kern w:val="2"/>
          <w:szCs w:val="21"/>
          <w:lang w:val="en-US" w:eastAsia="zh-CN"/>
        </w:rPr>
        <w:t>/</w:t>
      </w:r>
      <w:r>
        <w:rPr>
          <w:rFonts w:hint="eastAsia" w:ascii="Times New Roman" w:hAnsi="Times New Roman" w:eastAsia="新宋体" w:cs="Times New Roman"/>
          <w:color w:val="auto"/>
          <w:kern w:val="2"/>
          <w:szCs w:val="21"/>
          <w:lang w:eastAsia="zh-CN"/>
        </w:rPr>
        <w:t>试剂清单（有配套耗材</w:t>
      </w:r>
      <w:r>
        <w:rPr>
          <w:rFonts w:hint="eastAsia" w:ascii="Times New Roman" w:hAnsi="Times New Roman" w:eastAsia="新宋体" w:cs="Times New Roman"/>
          <w:color w:val="auto"/>
          <w:kern w:val="2"/>
          <w:szCs w:val="21"/>
          <w:lang w:val="en-US" w:eastAsia="zh-CN"/>
        </w:rPr>
        <w:t>/试剂需附</w:t>
      </w:r>
      <w:r>
        <w:rPr>
          <w:rFonts w:hint="eastAsia" w:ascii="Times New Roman" w:hAnsi="Times New Roman" w:eastAsia="新宋体" w:cs="Times New Roman"/>
          <w:color w:val="auto"/>
          <w:kern w:val="2"/>
          <w:szCs w:val="21"/>
          <w:lang w:eastAsia="zh-CN"/>
        </w:rPr>
        <w:t>）</w:t>
      </w:r>
    </w:p>
    <w:p w14:paraId="7FCCCAA3">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附件2：南京市江宁医院医疗设备供应商验收须知</w:t>
      </w:r>
    </w:p>
    <w:p w14:paraId="2513C124">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附件3：南京市江宁医院医疗设备安装（含维修）单位消防、安全生产、治安管理承诺书</w:t>
      </w:r>
    </w:p>
    <w:p w14:paraId="3FCB4BF1">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附件4：南京市江宁医院医药产品购销廉洁条例</w:t>
      </w:r>
    </w:p>
    <w:p w14:paraId="5311F10D">
      <w:pPr>
        <w:spacing w:line="240" w:lineRule="auto"/>
        <w:ind w:left="-50" w:leftChars="-95" w:hanging="149" w:hangingChars="71"/>
        <w:rPr>
          <w:rFonts w:hint="default" w:ascii="Times New Roman" w:hAnsi="Times New Roman" w:eastAsia="黑体" w:cs="Times New Roman"/>
          <w:color w:val="auto"/>
          <w:kern w:val="2"/>
          <w:sz w:val="32"/>
          <w:szCs w:val="40"/>
        </w:rPr>
      </w:pPr>
      <w:r>
        <w:rPr>
          <w:rFonts w:hint="default" w:ascii="Times New Roman" w:hAnsi="Times New Roman" w:eastAsia="新宋体" w:cs="Times New Roman"/>
          <w:color w:val="auto"/>
          <w:kern w:val="2"/>
          <w:szCs w:val="21"/>
        </w:rPr>
        <w:t>附件5：南京市政府采购供应商信用记录表暨信用承诺书</w:t>
      </w:r>
    </w:p>
    <w:p w14:paraId="3BB29D03">
      <w:pPr>
        <w:pStyle w:val="33"/>
        <w:rPr>
          <w:rFonts w:hint="eastAsia" w:ascii="宋体" w:hAnsi="宋体" w:eastAsia="宋体" w:cs="宋体"/>
          <w:color w:val="000000"/>
          <w:szCs w:val="36"/>
          <w:highlight w:val="none"/>
        </w:rPr>
      </w:pPr>
    </w:p>
    <w:p w14:paraId="65773735">
      <w:pPr>
        <w:rPr>
          <w:rFonts w:hint="eastAsia" w:ascii="宋体" w:hAnsi="宋体" w:eastAsia="宋体" w:cs="宋体"/>
          <w:color w:val="000000"/>
          <w:szCs w:val="36"/>
          <w:highlight w:val="none"/>
        </w:rPr>
      </w:pPr>
      <w:r>
        <w:rPr>
          <w:rFonts w:hint="eastAsia" w:ascii="宋体" w:hAnsi="宋体" w:eastAsia="宋体" w:cs="宋体"/>
          <w:color w:val="000000"/>
          <w:szCs w:val="36"/>
          <w:highlight w:val="none"/>
        </w:rPr>
        <w:br w:type="page"/>
      </w:r>
    </w:p>
    <w:p w14:paraId="06D2C5E6">
      <w:pPr>
        <w:pStyle w:val="2"/>
        <w:numPr>
          <w:ilvl w:val="0"/>
          <w:numId w:val="14"/>
        </w:numPr>
        <w:bidi w:val="0"/>
        <w:rPr>
          <w:rFonts w:hint="eastAsia"/>
          <w:highlight w:val="none"/>
        </w:rPr>
      </w:pPr>
      <w:bookmarkStart w:id="32" w:name="_Toc8341"/>
      <w:bookmarkStart w:id="33" w:name="_Toc109304974"/>
      <w:r>
        <w:rPr>
          <w:rFonts w:hint="eastAsia"/>
          <w:highlight w:val="none"/>
        </w:rPr>
        <w:t>项目需求</w:t>
      </w:r>
      <w:bookmarkEnd w:id="32"/>
      <w:bookmarkEnd w:id="33"/>
    </w:p>
    <w:p w14:paraId="5CCF2037">
      <w:pPr>
        <w:pStyle w:val="13"/>
        <w:rPr>
          <w:rFonts w:hint="eastAsia" w:ascii="宋体" w:hAnsi="宋体" w:eastAsia="宋体" w:cs="宋体"/>
          <w:b/>
          <w:bCs/>
          <w:color w:val="000000"/>
          <w:sz w:val="24"/>
          <w:szCs w:val="24"/>
          <w:highlight w:val="yellow"/>
          <w:lang w:val="en-US" w:eastAsia="zh-CN" w:bidi="ar-SA"/>
        </w:rPr>
      </w:pPr>
      <w:bookmarkStart w:id="34" w:name="_Toc109304975"/>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177AC8F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1694D63F">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4878CE29">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BEA6499">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68F88DB1">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1A212A4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058B88C3">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01</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20655E1F">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全自动血小板功能分析仪</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712D5A2">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1台</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530939EE">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5FDC03CF">
      <w:pPr>
        <w:rPr>
          <w:rFonts w:hint="eastAsia" w:ascii="宋体" w:hAnsi="宋体" w:eastAsia="宋体" w:cs="宋体"/>
          <w:b/>
          <w:bCs/>
          <w:color w:val="000000"/>
          <w:sz w:val="24"/>
          <w:szCs w:val="24"/>
          <w:highlight w:val="none"/>
          <w:lang w:eastAsia="zh-CN"/>
        </w:rPr>
      </w:pPr>
    </w:p>
    <w:p w14:paraId="742EA35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0C0E9B2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△1.测量参数：血小板最大聚集率，血小板平均聚集率，初始血小板数量，聚集后血小板数，初始血小板平均体积，血小板聚集曲线（AR Curve）；</w:t>
      </w:r>
    </w:p>
    <w:p w14:paraId="4A7ABE0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△2.样本类型：枸椽酸抗凝全血；样本用量：用血量≤0.4ml；</w:t>
      </w:r>
    </w:p>
    <w:p w14:paraId="39738F6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△3.样本处理：无需处理，原始管上机；</w:t>
      </w:r>
    </w:p>
    <w:p w14:paraId="14DD287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4.进样方式：自动；进样数：≥50；</w:t>
      </w:r>
    </w:p>
    <w:p w14:paraId="38AA64E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5.测试通道≥4;</w:t>
      </w:r>
    </w:p>
    <w:p w14:paraId="65209D3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6试剂位：≥5；</w:t>
      </w:r>
    </w:p>
    <w:p w14:paraId="64654F6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7.检测速度：≥16；</w:t>
      </w:r>
    </w:p>
    <w:p w14:paraId="66CA0B3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8.具备质控及校准体系。</w:t>
      </w:r>
    </w:p>
    <w:p w14:paraId="23F53B9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p w14:paraId="5228DE9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1.主机及所需配套软件、配件一套；</w:t>
      </w:r>
    </w:p>
    <w:p w14:paraId="0C92F2E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2.接口费用全部由供应商承担；</w:t>
      </w:r>
    </w:p>
    <w:p w14:paraId="3288B21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3.按期免费进行性能验证、校准。</w:t>
      </w:r>
    </w:p>
    <w:p w14:paraId="30EFD70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5189667C">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≥5年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≥5年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629D474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43BD33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269BE3C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639E7593">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58BC9E2E">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5047A9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161BDB15">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p>
    <w:p w14:paraId="00F28C34">
      <w:pP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br w:type="page"/>
      </w:r>
    </w:p>
    <w:p w14:paraId="209F5DC8">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p>
    <w:p w14:paraId="3043658C">
      <w:pPr>
        <w:pStyle w:val="13"/>
        <w:rPr>
          <w:rFonts w:hint="eastAsia"/>
          <w:lang w:val="en-US" w:eastAsia="zh-CN"/>
        </w:rPr>
      </w:pPr>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596F3E0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4777A76B">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5B6E0E06">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934B2C0">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029BB3C1">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4A2F198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482D5D65">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02</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3F720CE5">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全自动医用血液冷藏系统</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8389877">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1台</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00149448">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37D58344">
      <w:pPr>
        <w:rPr>
          <w:rFonts w:hint="eastAsia" w:ascii="宋体" w:hAnsi="宋体" w:eastAsia="宋体" w:cs="宋体"/>
          <w:b/>
          <w:bCs/>
          <w:color w:val="000000"/>
          <w:sz w:val="24"/>
          <w:szCs w:val="24"/>
          <w:highlight w:val="none"/>
          <w:lang w:eastAsia="zh-CN"/>
        </w:rPr>
      </w:pPr>
    </w:p>
    <w:p w14:paraId="09E9194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1AB4B9B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△1.自动化存取血、无人值守，全程监控存取血权限操作，对接HIS系统和输血信息管理系统；</w:t>
      </w:r>
    </w:p>
    <w:p w14:paraId="4311BC4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2.自动化霜功能。</w:t>
      </w:r>
    </w:p>
    <w:p w14:paraId="346B31D5">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3.具备风冷、电加热补偿系统，精确微电脑控制，箱内温度控制在2℃至6℃范围内。主控电脑配备密码保护和人脸识别技术。主机温控显示，上下点温度/平均温度数字显示，分辨率0.1℃。</w:t>
      </w:r>
    </w:p>
    <w:p w14:paraId="0910723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4.血液储存数量：≥60袋，有效容积：≥500L。</w:t>
      </w:r>
    </w:p>
    <w:p w14:paraId="74D015F7">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5.温控探头：≥6个，并有专用通道，接入第三方冷链温度监测探头。有一个机械温控器，保证设备正常运行。</w:t>
      </w:r>
    </w:p>
    <w:p w14:paraId="50A2FD5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6.具备自动循环除霜、强制除霜两种方式</w:t>
      </w:r>
    </w:p>
    <w:p w14:paraId="67807BA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7.配备接水盒；安全装置：电子锁设计，防止随意开启；单独封闭模块，并配备应急门，便于紧急取血。每袋血之间空间隔离且立式摆放。</w:t>
      </w:r>
    </w:p>
    <w:p w14:paraId="35142DE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8.报警方式：蜂鸣报警、灯光闪烁报警</w:t>
      </w:r>
    </w:p>
    <w:p w14:paraId="40D713F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△9.内置蓄电池，断电后可持续显示箱内温度及报警24小时</w:t>
      </w:r>
    </w:p>
    <w:p w14:paraId="56F818C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10.模块采用自动化旋转式自动出入库方式，自带平台仓门。</w:t>
      </w:r>
    </w:p>
    <w:p w14:paraId="4B43E79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★11.智能化软件设计，单软件控制多台储血设备和单软件单机独立管理均可。根据各用血科室订单自动出库，用血峰值自动分配便捷管理。</w:t>
      </w:r>
    </w:p>
    <w:p w14:paraId="21380D5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血液冷藏管理系统具备可视化信息管理功能，全中文操作界面；具备远程库存盘点、实时温度、库存数据上传；具备无人值守功能，全程监控存取血权限操作，不需值班人员长期值岗。</w:t>
      </w:r>
    </w:p>
    <w:p w14:paraId="4CA5A0C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12.具备血液寄存等管理，权限分级管理；具备跨区域血液调配。</w:t>
      </w:r>
    </w:p>
    <w:p w14:paraId="4E63E6D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△13.射频码(RFID)与每袋血矮、血盒扫码自动绑定、核验；血盒能重复使用。</w:t>
      </w:r>
    </w:p>
    <w:p w14:paraId="261F20D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14.具备拓展性：可设组网形成智能血库链模式；智能血库用血科室网模式；主院区和分院区管理网模式。</w:t>
      </w:r>
    </w:p>
    <w:p w14:paraId="2672F4B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p w14:paraId="6EA485D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1.主机及软件一套；</w:t>
      </w:r>
    </w:p>
    <w:p w14:paraId="38DF622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2.冷链系统一套；</w:t>
      </w:r>
    </w:p>
    <w:p w14:paraId="6D4A0776">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3.接口费用全部由厂家承担；</w:t>
      </w:r>
    </w:p>
    <w:p w14:paraId="5F4B95C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4.按期免费进行性能、冷链验证、校准。</w:t>
      </w:r>
    </w:p>
    <w:p w14:paraId="61A5A63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23511B79">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≥5年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≥5年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42698EEB">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7EDFCACD">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0AEB0E7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37B7BAA7">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18B91AD1">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73E90176">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6C4031D7">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p>
    <w:p w14:paraId="2EE7F1D0">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宋体" w:hAnsi="宋体" w:eastAsia="宋体" w:cs="宋体"/>
          <w:color w:val="000000"/>
          <w:sz w:val="28"/>
          <w:szCs w:val="28"/>
          <w:highlight w:val="none"/>
          <w:lang w:val="en-US" w:eastAsia="zh-CN"/>
        </w:rPr>
        <w:sectPr>
          <w:footerReference r:id="rId4" w:type="default"/>
          <w:pgSz w:w="11906" w:h="16838"/>
          <w:pgMar w:top="1270" w:right="1800" w:bottom="1270" w:left="1800" w:header="851" w:footer="992" w:gutter="0"/>
          <w:pgNumType w:fmt="decimal" w:start="1"/>
          <w:cols w:space="1701" w:num="1"/>
          <w:docGrid w:linePitch="360" w:charSpace="0"/>
        </w:sectPr>
      </w:pPr>
    </w:p>
    <w:p w14:paraId="01DAE792">
      <w:pPr>
        <w:pStyle w:val="13"/>
        <w:rPr>
          <w:rFonts w:hint="default"/>
          <w:lang w:val="en-US" w:eastAsia="zh-CN"/>
        </w:rPr>
      </w:pPr>
    </w:p>
    <w:p w14:paraId="73CD9CD8">
      <w:pPr>
        <w:pStyle w:val="2"/>
        <w:keepNext/>
        <w:keepLines/>
        <w:pageBreakBefore w:val="0"/>
        <w:widowControl w:val="0"/>
        <w:numPr>
          <w:ilvl w:val="0"/>
          <w:numId w:val="14"/>
        </w:numPr>
        <w:kinsoku/>
        <w:wordWrap/>
        <w:overflowPunct/>
        <w:topLinePunct w:val="0"/>
        <w:autoSpaceDE/>
        <w:autoSpaceDN/>
        <w:bidi w:val="0"/>
        <w:adjustRightInd/>
        <w:snapToGrid/>
        <w:spacing w:before="0"/>
        <w:ind w:left="0" w:leftChars="0" w:firstLine="0" w:firstLineChars="0"/>
        <w:textAlignment w:val="auto"/>
        <w:rPr>
          <w:rFonts w:hint="eastAsia"/>
          <w:highlight w:val="none"/>
        </w:rPr>
      </w:pPr>
      <w:bookmarkStart w:id="35" w:name="_Toc30045"/>
      <w:r>
        <w:rPr>
          <w:rFonts w:hint="eastAsia"/>
          <w:highlight w:val="none"/>
        </w:rPr>
        <w:t>评审方法及评审标准</w:t>
      </w:r>
      <w:bookmarkEnd w:id="0"/>
      <w:bookmarkEnd w:id="34"/>
      <w:bookmarkEnd w:id="35"/>
    </w:p>
    <w:p w14:paraId="13164AB1">
      <w:pPr>
        <w:spacing w:before="156" w:after="156"/>
        <w:ind w:firstLine="643"/>
        <w:outlineLvl w:val="9"/>
        <w:rPr>
          <w:rFonts w:hint="eastAsia" w:ascii="宋体" w:hAnsi="宋体" w:cs="宋体"/>
          <w:b/>
          <w:color w:val="000000"/>
          <w:sz w:val="32"/>
          <w:szCs w:val="32"/>
          <w:highlight w:val="none"/>
        </w:rPr>
      </w:pPr>
      <w:bookmarkStart w:id="36" w:name="_Toc4647"/>
      <w:bookmarkStart w:id="37" w:name="_Toc12296"/>
      <w:bookmarkStart w:id="38" w:name="_Toc17445"/>
      <w:bookmarkStart w:id="39" w:name="_Toc24217_WPSOffice_Level2"/>
      <w:r>
        <w:rPr>
          <w:rFonts w:hint="eastAsia" w:ascii="宋体" w:hAnsi="宋体" w:cs="宋体"/>
          <w:b/>
          <w:color w:val="000000"/>
          <w:sz w:val="32"/>
          <w:szCs w:val="32"/>
          <w:highlight w:val="none"/>
        </w:rPr>
        <w:t>一、资格审查</w:t>
      </w:r>
      <w:bookmarkEnd w:id="36"/>
      <w:bookmarkEnd w:id="37"/>
      <w:bookmarkEnd w:id="38"/>
      <w:bookmarkEnd w:id="39"/>
    </w:p>
    <w:p w14:paraId="593C27B0">
      <w:pPr>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采购人按照下列指标对各投标人的资格进行审查，未通过审查的为无效标，不参与评标。</w:t>
      </w:r>
    </w:p>
    <w:tbl>
      <w:tblPr>
        <w:tblStyle w:val="34"/>
        <w:tblW w:w="9163"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828"/>
        <w:gridCol w:w="4335"/>
      </w:tblGrid>
      <w:tr w14:paraId="4F780E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73CB7E66">
            <w:pPr>
              <w:jc w:val="center"/>
              <w:outlineLvl w:val="9"/>
              <w:rPr>
                <w:rFonts w:hint="eastAsia" w:ascii="宋体" w:hAnsi="宋体" w:cs="宋体"/>
                <w:color w:val="000000"/>
                <w:highlight w:val="none"/>
              </w:rPr>
            </w:pPr>
            <w:r>
              <w:rPr>
                <w:rFonts w:hint="eastAsia" w:ascii="宋体" w:hAnsi="宋体" w:cs="宋体"/>
                <w:color w:val="000000"/>
                <w:highlight w:val="none"/>
              </w:rPr>
              <w:t>资格审查因素</w:t>
            </w:r>
          </w:p>
        </w:tc>
        <w:tc>
          <w:tcPr>
            <w:tcW w:w="4335" w:type="dxa"/>
            <w:vAlign w:val="center"/>
          </w:tcPr>
          <w:p w14:paraId="60BD0BBC">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2D89C73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51C01F39">
            <w:pPr>
              <w:jc w:val="left"/>
              <w:outlineLvl w:val="9"/>
              <w:rPr>
                <w:rFonts w:hint="eastAsia" w:ascii="宋体" w:hAnsi="宋体" w:cs="宋体"/>
                <w:bCs/>
                <w:color w:val="000000"/>
                <w:highlight w:val="none"/>
              </w:rPr>
            </w:pPr>
            <w:r>
              <w:rPr>
                <w:rFonts w:hint="eastAsia" w:ascii="宋体" w:hAnsi="宋体" w:cs="宋体"/>
                <w:bCs/>
                <w:color w:val="000000"/>
                <w:highlight w:val="none"/>
              </w:rPr>
              <w:t>具有独立承担民事责任的能力</w:t>
            </w:r>
          </w:p>
        </w:tc>
        <w:tc>
          <w:tcPr>
            <w:tcW w:w="4335" w:type="dxa"/>
            <w:vAlign w:val="center"/>
          </w:tcPr>
          <w:p w14:paraId="7E2D5E5B">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3D7F3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7729FD47">
            <w:pPr>
              <w:jc w:val="left"/>
              <w:outlineLvl w:val="9"/>
              <w:rPr>
                <w:rFonts w:hint="eastAsia" w:ascii="宋体" w:hAnsi="宋体" w:cs="宋体"/>
                <w:bCs/>
                <w:color w:val="000000"/>
                <w:highlight w:val="none"/>
              </w:rPr>
            </w:pPr>
            <w:r>
              <w:rPr>
                <w:rFonts w:hint="eastAsia" w:ascii="宋体" w:hAnsi="宋体" w:cs="宋体"/>
                <w:color w:val="000000"/>
                <w:highlight w:val="none"/>
              </w:rPr>
              <w:t>投标产品及投标人资质证书</w:t>
            </w:r>
          </w:p>
        </w:tc>
        <w:tc>
          <w:tcPr>
            <w:tcW w:w="4335" w:type="dxa"/>
            <w:vAlign w:val="center"/>
          </w:tcPr>
          <w:p w14:paraId="7A6225F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C470C70">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9AD4482">
            <w:pPr>
              <w:jc w:val="left"/>
              <w:outlineLvl w:val="9"/>
              <w:rPr>
                <w:rFonts w:hint="eastAsia" w:ascii="宋体" w:hAnsi="宋体" w:cs="宋体"/>
                <w:color w:val="000000"/>
                <w:highlight w:val="none"/>
              </w:rPr>
            </w:pPr>
            <w:r>
              <w:rPr>
                <w:rFonts w:hint="eastAsia" w:ascii="宋体" w:hAnsi="宋体" w:cs="宋体"/>
                <w:bCs/>
                <w:color w:val="000000"/>
                <w:highlight w:val="none"/>
              </w:rPr>
              <w:t>具有良好的商业信誉和健全的财务会计制度</w:t>
            </w:r>
          </w:p>
        </w:tc>
        <w:tc>
          <w:tcPr>
            <w:tcW w:w="4335" w:type="dxa"/>
            <w:vAlign w:val="center"/>
          </w:tcPr>
          <w:p w14:paraId="2729DE6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A6CDB9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CB4DC70">
            <w:pPr>
              <w:jc w:val="left"/>
              <w:outlineLvl w:val="9"/>
              <w:rPr>
                <w:rFonts w:hint="eastAsia" w:ascii="宋体" w:hAnsi="宋体" w:cs="宋体"/>
                <w:color w:val="auto"/>
                <w:highlight w:val="none"/>
              </w:rPr>
            </w:pPr>
            <w:r>
              <w:rPr>
                <w:rFonts w:hint="eastAsia" w:ascii="宋体" w:hAnsi="宋体" w:cs="宋体"/>
                <w:bCs/>
                <w:color w:val="auto"/>
                <w:highlight w:val="none"/>
              </w:rPr>
              <w:t>具有履行合同所必需的设备和专业技术能力</w:t>
            </w:r>
          </w:p>
        </w:tc>
        <w:tc>
          <w:tcPr>
            <w:tcW w:w="4335" w:type="dxa"/>
            <w:vAlign w:val="center"/>
          </w:tcPr>
          <w:p w14:paraId="61796D8E">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74D7D18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0D321FFB">
            <w:pPr>
              <w:jc w:val="left"/>
              <w:outlineLvl w:val="9"/>
              <w:rPr>
                <w:rFonts w:hint="eastAsia" w:ascii="宋体" w:hAnsi="宋体" w:cs="宋体"/>
                <w:color w:val="auto"/>
                <w:highlight w:val="none"/>
              </w:rPr>
            </w:pPr>
            <w:r>
              <w:rPr>
                <w:rFonts w:hint="eastAsia" w:ascii="宋体" w:hAnsi="宋体" w:cs="宋体"/>
                <w:bCs/>
                <w:color w:val="auto"/>
                <w:highlight w:val="none"/>
              </w:rPr>
              <w:t>有依法缴纳税收和社会保障资金的良好记录</w:t>
            </w:r>
          </w:p>
        </w:tc>
        <w:tc>
          <w:tcPr>
            <w:tcW w:w="4335" w:type="dxa"/>
            <w:vAlign w:val="center"/>
          </w:tcPr>
          <w:p w14:paraId="5701A30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B79110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168F0D27">
            <w:pPr>
              <w:jc w:val="left"/>
              <w:outlineLvl w:val="9"/>
              <w:rPr>
                <w:rFonts w:hint="eastAsia" w:ascii="宋体" w:hAnsi="宋体" w:cs="宋体"/>
                <w:color w:val="auto"/>
                <w:highlight w:val="none"/>
              </w:rPr>
            </w:pPr>
            <w:r>
              <w:rPr>
                <w:rFonts w:hint="eastAsia" w:ascii="宋体" w:hAnsi="宋体" w:cs="宋体"/>
                <w:color w:val="auto"/>
                <w:highlight w:val="none"/>
              </w:rPr>
              <w:t>无重大违法行为声明</w:t>
            </w:r>
          </w:p>
        </w:tc>
        <w:tc>
          <w:tcPr>
            <w:tcW w:w="4335" w:type="dxa"/>
            <w:vAlign w:val="center"/>
          </w:tcPr>
          <w:p w14:paraId="08F85F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8EE62E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6CE0318B">
            <w:pPr>
              <w:jc w:val="left"/>
              <w:outlineLvl w:val="9"/>
              <w:rPr>
                <w:rFonts w:hint="eastAsia" w:ascii="宋体" w:hAnsi="宋体" w:cs="宋体"/>
                <w:color w:val="auto"/>
                <w:highlight w:val="none"/>
              </w:rPr>
            </w:pPr>
            <w:r>
              <w:rPr>
                <w:rFonts w:hint="eastAsia" w:eastAsia="宋体"/>
                <w:color w:val="auto"/>
                <w:lang w:val="en-US" w:eastAsia="zh-CN"/>
              </w:rPr>
              <w:t>南京市政府采购供应商信用记录表暨信用承诺书</w:t>
            </w:r>
          </w:p>
        </w:tc>
        <w:tc>
          <w:tcPr>
            <w:tcW w:w="4335" w:type="dxa"/>
            <w:vAlign w:val="center"/>
          </w:tcPr>
          <w:p w14:paraId="2D83B63D">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7F1993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828" w:type="dxa"/>
            <w:shd w:val="clear" w:color="auto" w:fill="auto"/>
            <w:vAlign w:val="center"/>
          </w:tcPr>
          <w:p w14:paraId="2E902C11">
            <w:pPr>
              <w:jc w:val="left"/>
              <w:outlineLvl w:val="9"/>
              <w:rPr>
                <w:rFonts w:hint="default" w:ascii="宋体" w:hAnsi="宋体" w:eastAsia="宋体" w:cs="宋体"/>
                <w:color w:val="auto"/>
                <w:sz w:val="21"/>
                <w:szCs w:val="22"/>
                <w:highlight w:val="none"/>
                <w:lang w:val="en-US" w:eastAsia="zh-CN" w:bidi="ar-SA"/>
              </w:rPr>
            </w:pPr>
            <w:r>
              <w:rPr>
                <w:rFonts w:hint="eastAsia" w:ascii="宋体" w:hAnsi="宋体" w:cs="宋体"/>
                <w:color w:val="auto"/>
                <w:sz w:val="21"/>
                <w:szCs w:val="22"/>
                <w:highlight w:val="none"/>
                <w:lang w:val="en-US" w:eastAsia="zh-CN" w:bidi="ar-SA"/>
              </w:rPr>
              <w:t>信用中国报告</w:t>
            </w:r>
          </w:p>
        </w:tc>
        <w:tc>
          <w:tcPr>
            <w:tcW w:w="4335" w:type="dxa"/>
            <w:vAlign w:val="center"/>
          </w:tcPr>
          <w:p w14:paraId="6BF743D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F4E502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5A90C42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lang w:eastAsia="zh-CN"/>
              </w:rPr>
              <w:t>承诺函</w:t>
            </w:r>
          </w:p>
        </w:tc>
        <w:tc>
          <w:tcPr>
            <w:tcW w:w="4335" w:type="dxa"/>
            <w:vAlign w:val="center"/>
          </w:tcPr>
          <w:p w14:paraId="7EC1E3D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4CBDB33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269ED3F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rPr>
              <w:t>投标材料真实性及购销廉洁声明</w:t>
            </w:r>
          </w:p>
        </w:tc>
        <w:tc>
          <w:tcPr>
            <w:tcW w:w="4335" w:type="dxa"/>
            <w:vAlign w:val="center"/>
          </w:tcPr>
          <w:p w14:paraId="5498378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F1382A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3591BAA9">
            <w:pPr>
              <w:jc w:val="left"/>
              <w:outlineLvl w:val="9"/>
              <w:rPr>
                <w:rFonts w:hint="eastAsia" w:ascii="宋体" w:hAnsi="宋体" w:eastAsia="宋体" w:cs="宋体"/>
                <w:color w:val="auto"/>
                <w:highlight w:val="none"/>
                <w:lang w:eastAsia="zh-CN"/>
              </w:rPr>
            </w:pPr>
            <w:r>
              <w:rPr>
                <w:rFonts w:hint="eastAsia" w:ascii="宋体" w:hAnsi="宋体" w:cs="宋体"/>
                <w:color w:val="auto"/>
                <w:highlight w:val="none"/>
              </w:rPr>
              <w:t>法律、行政法规规定的其他条件</w:t>
            </w:r>
          </w:p>
        </w:tc>
        <w:tc>
          <w:tcPr>
            <w:tcW w:w="4335" w:type="dxa"/>
            <w:vAlign w:val="center"/>
          </w:tcPr>
          <w:p w14:paraId="660B4A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F7CC86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2A659FB1">
            <w:pPr>
              <w:jc w:val="left"/>
              <w:outlineLvl w:val="9"/>
              <w:rPr>
                <w:rFonts w:hint="eastAsia" w:ascii="宋体" w:hAnsi="宋体" w:cs="宋体"/>
                <w:color w:val="auto"/>
                <w:highlight w:val="none"/>
              </w:rPr>
            </w:pPr>
            <w:r>
              <w:rPr>
                <w:rFonts w:hint="eastAsia" w:ascii="宋体" w:hAnsi="宋体" w:cs="宋体"/>
                <w:color w:val="auto"/>
                <w:highlight w:val="none"/>
              </w:rPr>
              <w:t>符合联合体规定</w:t>
            </w:r>
          </w:p>
        </w:tc>
        <w:tc>
          <w:tcPr>
            <w:tcW w:w="4335" w:type="dxa"/>
            <w:vAlign w:val="center"/>
          </w:tcPr>
          <w:p w14:paraId="17AC13B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7132D1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312082AA">
            <w:pPr>
              <w:jc w:val="left"/>
              <w:outlineLvl w:val="9"/>
              <w:rPr>
                <w:rFonts w:hint="eastAsia" w:ascii="宋体" w:hAnsi="宋体" w:cs="宋体"/>
                <w:color w:val="000000"/>
                <w:highlight w:val="none"/>
              </w:rPr>
            </w:pPr>
            <w:r>
              <w:rPr>
                <w:rFonts w:hint="eastAsia" w:ascii="宋体" w:hAnsi="宋体" w:cs="宋体"/>
                <w:color w:val="000000"/>
                <w:highlight w:val="none"/>
              </w:rPr>
              <w:t>特定资格要求</w:t>
            </w:r>
            <w:r>
              <w:rPr>
                <w:rFonts w:hint="eastAsia" w:ascii="宋体" w:hAnsi="宋体" w:cs="宋体"/>
                <w:color w:val="000000"/>
                <w:highlight w:val="none"/>
                <w:lang w:eastAsia="zh-CN"/>
              </w:rPr>
              <w:t>（</w:t>
            </w:r>
            <w:r>
              <w:rPr>
                <w:rFonts w:hint="eastAsia" w:ascii="宋体" w:hAnsi="宋体" w:cs="宋体"/>
                <w:color w:val="000000"/>
                <w:highlight w:val="none"/>
                <w:lang w:val="en-US" w:eastAsia="zh-CN"/>
              </w:rPr>
              <w:t>如有）</w:t>
            </w:r>
          </w:p>
        </w:tc>
        <w:tc>
          <w:tcPr>
            <w:tcW w:w="4335" w:type="dxa"/>
            <w:vAlign w:val="center"/>
          </w:tcPr>
          <w:p w14:paraId="4741818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7B93396">
      <w:pPr>
        <w:spacing w:before="156" w:after="156"/>
        <w:ind w:firstLine="643"/>
        <w:outlineLvl w:val="9"/>
        <w:rPr>
          <w:rFonts w:hint="eastAsia" w:ascii="宋体" w:hAnsi="宋体" w:cs="宋体"/>
          <w:b/>
          <w:color w:val="000000"/>
          <w:sz w:val="32"/>
          <w:szCs w:val="32"/>
          <w:highlight w:val="none"/>
        </w:rPr>
      </w:pPr>
      <w:bookmarkStart w:id="40" w:name="_Toc18818"/>
      <w:bookmarkStart w:id="41" w:name="_Toc17529"/>
      <w:r>
        <w:rPr>
          <w:rFonts w:hint="eastAsia" w:ascii="宋体" w:hAnsi="宋体" w:cs="宋体"/>
          <w:b/>
          <w:color w:val="000000"/>
          <w:sz w:val="32"/>
          <w:szCs w:val="32"/>
          <w:highlight w:val="none"/>
        </w:rPr>
        <w:t>二、符合性审查</w:t>
      </w:r>
      <w:bookmarkEnd w:id="40"/>
      <w:bookmarkEnd w:id="41"/>
    </w:p>
    <w:p w14:paraId="66FCBD35">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符合性审查是指依据</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文件的规定，从商务和技术角度对</w:t>
      </w:r>
      <w:r>
        <w:rPr>
          <w:rFonts w:hint="eastAsia" w:ascii="宋体" w:hAnsi="宋体" w:cs="宋体"/>
          <w:color w:val="000000"/>
          <w:sz w:val="24"/>
          <w:highlight w:val="none"/>
          <w:lang w:val="en-US" w:eastAsia="zh-CN"/>
        </w:rPr>
        <w:t>响应</w:t>
      </w:r>
      <w:r>
        <w:rPr>
          <w:rFonts w:hint="eastAsia" w:ascii="宋体" w:hAnsi="宋体" w:cs="宋体"/>
          <w:color w:val="000000"/>
          <w:sz w:val="24"/>
          <w:highlight w:val="none"/>
        </w:rPr>
        <w:t>文件的有效性和完整性进行审查，以确定是否对</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文件的实质性要求做出响应。</w:t>
      </w:r>
    </w:p>
    <w:p w14:paraId="08F3918B">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未通过审查的为无效标，不再参与评审。</w:t>
      </w:r>
    </w:p>
    <w:tbl>
      <w:tblPr>
        <w:tblStyle w:val="34"/>
        <w:tblW w:w="9172"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449"/>
        <w:gridCol w:w="4723"/>
      </w:tblGrid>
      <w:tr w14:paraId="15905FC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03233B92">
            <w:pPr>
              <w:jc w:val="center"/>
              <w:outlineLvl w:val="9"/>
              <w:rPr>
                <w:rFonts w:hint="eastAsia" w:ascii="宋体" w:hAnsi="宋体" w:cs="宋体"/>
                <w:color w:val="000000"/>
                <w:highlight w:val="none"/>
              </w:rPr>
            </w:pPr>
            <w:r>
              <w:rPr>
                <w:rFonts w:hint="eastAsia" w:ascii="宋体" w:hAnsi="宋体" w:cs="宋体"/>
                <w:color w:val="000000"/>
                <w:highlight w:val="none"/>
              </w:rPr>
              <w:t>符合性审查因素</w:t>
            </w:r>
          </w:p>
        </w:tc>
        <w:tc>
          <w:tcPr>
            <w:tcW w:w="4723" w:type="dxa"/>
            <w:vAlign w:val="center"/>
          </w:tcPr>
          <w:p w14:paraId="79B0FABF">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7BB0D7B9">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449" w:type="dxa"/>
            <w:vAlign w:val="center"/>
          </w:tcPr>
          <w:p w14:paraId="5EB6754F">
            <w:pPr>
              <w:jc w:val="left"/>
              <w:outlineLvl w:val="9"/>
              <w:rPr>
                <w:rFonts w:hint="eastAsia" w:ascii="宋体" w:hAnsi="宋体" w:cs="宋体"/>
                <w:color w:val="000000"/>
                <w:highlight w:val="none"/>
              </w:rPr>
            </w:pPr>
            <w:r>
              <w:rPr>
                <w:rFonts w:hint="eastAsia" w:ascii="宋体" w:hAnsi="宋体" w:cs="宋体"/>
                <w:color w:val="000000"/>
                <w:highlight w:val="none"/>
              </w:rPr>
              <w:t>磋商响应函</w:t>
            </w:r>
          </w:p>
        </w:tc>
        <w:tc>
          <w:tcPr>
            <w:tcW w:w="4723" w:type="dxa"/>
            <w:vAlign w:val="center"/>
          </w:tcPr>
          <w:p w14:paraId="18BF3DC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6003678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4A50C067">
            <w:pPr>
              <w:jc w:val="left"/>
              <w:outlineLvl w:val="9"/>
              <w:rPr>
                <w:rFonts w:hint="eastAsia" w:ascii="宋体" w:hAnsi="宋体" w:cs="宋体"/>
                <w:color w:val="000000"/>
                <w:highlight w:val="none"/>
              </w:rPr>
            </w:pPr>
            <w:r>
              <w:rPr>
                <w:rFonts w:hint="eastAsia" w:ascii="宋体" w:hAnsi="宋体" w:cs="宋体"/>
                <w:color w:val="000000"/>
                <w:highlight w:val="none"/>
              </w:rPr>
              <w:t>法定代表人身份证明</w:t>
            </w:r>
            <w:r>
              <w:rPr>
                <w:rFonts w:hint="eastAsia" w:ascii="宋体" w:hAnsi="宋体" w:cs="宋体"/>
                <w:color w:val="000000"/>
                <w:highlight w:val="none"/>
                <w:lang w:val="en-US" w:eastAsia="zh-CN"/>
              </w:rPr>
              <w:t>书</w:t>
            </w:r>
            <w:r>
              <w:rPr>
                <w:rFonts w:hint="eastAsia" w:ascii="宋体" w:hAnsi="宋体" w:cs="宋体"/>
                <w:color w:val="000000"/>
                <w:highlight w:val="none"/>
              </w:rPr>
              <w:t>或</w:t>
            </w:r>
            <w:r>
              <w:rPr>
                <w:rFonts w:hint="eastAsia" w:ascii="宋体" w:hAnsi="宋体" w:cs="宋体"/>
                <w:color w:val="000000"/>
                <w:highlight w:val="none"/>
                <w:lang w:val="en-US" w:eastAsia="zh-CN"/>
              </w:rPr>
              <w:t>法定代表人</w:t>
            </w:r>
            <w:r>
              <w:rPr>
                <w:rFonts w:hint="eastAsia" w:ascii="宋体" w:hAnsi="宋体" w:cs="宋体"/>
                <w:color w:val="000000"/>
                <w:highlight w:val="none"/>
              </w:rPr>
              <w:t>授权委托书</w:t>
            </w:r>
          </w:p>
        </w:tc>
        <w:tc>
          <w:tcPr>
            <w:tcW w:w="4723" w:type="dxa"/>
            <w:vAlign w:val="center"/>
          </w:tcPr>
          <w:p w14:paraId="16F2145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0BE3EE3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7DA6C382">
            <w:pPr>
              <w:jc w:val="left"/>
              <w:outlineLvl w:val="9"/>
              <w:rPr>
                <w:rFonts w:hint="eastAsia" w:ascii="宋体" w:hAnsi="宋体" w:cs="宋体"/>
                <w:color w:val="000000"/>
                <w:highlight w:val="none"/>
              </w:rPr>
            </w:pPr>
            <w:r>
              <w:rPr>
                <w:rFonts w:hint="eastAsia" w:ascii="宋体" w:hAnsi="宋体" w:cs="宋体"/>
                <w:color w:val="000000"/>
                <w:highlight w:val="none"/>
              </w:rPr>
              <w:t>签署和盖章符合要求</w:t>
            </w:r>
          </w:p>
        </w:tc>
        <w:tc>
          <w:tcPr>
            <w:tcW w:w="4723" w:type="dxa"/>
            <w:vAlign w:val="center"/>
          </w:tcPr>
          <w:p w14:paraId="01A757E7">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磋采购</w:t>
            </w:r>
            <w:r>
              <w:rPr>
                <w:rFonts w:hint="eastAsia" w:ascii="宋体" w:hAnsi="宋体" w:cs="宋体"/>
                <w:color w:val="000000"/>
                <w:highlight w:val="none"/>
              </w:rPr>
              <w:t>文件规定</w:t>
            </w:r>
          </w:p>
        </w:tc>
      </w:tr>
      <w:tr w14:paraId="066F82A1">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4235AD43">
            <w:pPr>
              <w:jc w:val="left"/>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磋商响应报价表</w:t>
            </w:r>
          </w:p>
          <w:p w14:paraId="65FB7701">
            <w:pPr>
              <w:jc w:val="left"/>
              <w:outlineLvl w:val="9"/>
              <w:rPr>
                <w:rFonts w:hint="default" w:ascii="宋体" w:hAnsi="宋体" w:cs="宋体"/>
                <w:color w:val="000000"/>
                <w:highlight w:val="none"/>
                <w:lang w:val="en-US" w:eastAsia="zh-CN"/>
              </w:rPr>
            </w:pPr>
          </w:p>
        </w:tc>
        <w:tc>
          <w:tcPr>
            <w:tcW w:w="4723" w:type="dxa"/>
            <w:vAlign w:val="center"/>
          </w:tcPr>
          <w:p w14:paraId="2044B20E">
            <w:pPr>
              <w:jc w:val="left"/>
              <w:outlineLvl w:val="9"/>
              <w:rPr>
                <w:rFonts w:hint="eastAsia" w:ascii="宋体" w:hAnsi="宋体" w:cs="宋体"/>
                <w:color w:val="000000"/>
                <w:highlight w:val="none"/>
              </w:rPr>
            </w:pPr>
            <w:r>
              <w:rPr>
                <w:rFonts w:hint="eastAsia" w:ascii="宋体" w:hAnsi="宋体" w:cs="宋体"/>
                <w:color w:val="000000"/>
                <w:highlight w:val="none"/>
              </w:rPr>
              <w:t>格式、填写要求符合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文件规定（报价未超过预算或最高限价）</w:t>
            </w:r>
            <w:r>
              <w:rPr>
                <w:rFonts w:hint="eastAsia" w:ascii="宋体" w:hAnsi="宋体" w:cs="宋体"/>
                <w:color w:val="000000"/>
                <w:highlight w:val="none"/>
                <w:lang w:val="en-US" w:eastAsia="zh-CN"/>
              </w:rPr>
              <w:t>（如有耗材/试剂必须满足南京市平台中标产品挂网）</w:t>
            </w:r>
          </w:p>
        </w:tc>
      </w:tr>
      <w:tr w14:paraId="1B947BD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shd w:val="clear" w:color="auto" w:fill="auto"/>
            <w:vAlign w:val="center"/>
          </w:tcPr>
          <w:p w14:paraId="63CCE7E7">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lang w:val="en-US" w:eastAsia="zh-CN"/>
              </w:rPr>
              <w:t>响应</w:t>
            </w:r>
            <w:r>
              <w:rPr>
                <w:rFonts w:hint="eastAsia" w:ascii="宋体" w:hAnsi="宋体" w:cs="宋体"/>
                <w:color w:val="000000"/>
                <w:highlight w:val="none"/>
              </w:rPr>
              <w:t>文件对</w:t>
            </w:r>
            <w:r>
              <w:rPr>
                <w:rFonts w:hint="eastAsia" w:ascii="宋体" w:hAnsi="宋体" w:cs="宋体"/>
                <w:color w:val="000000"/>
                <w:highlight w:val="none"/>
                <w:lang w:val="en-US" w:eastAsia="zh-CN"/>
              </w:rPr>
              <w:t>磋商</w:t>
            </w:r>
            <w:r>
              <w:rPr>
                <w:rFonts w:hint="eastAsia" w:ascii="宋体" w:hAnsi="宋体" w:cs="宋体"/>
                <w:color w:val="000000"/>
                <w:highlight w:val="none"/>
              </w:rPr>
              <w:t>文件的实质性条款的响应性</w:t>
            </w:r>
          </w:p>
        </w:tc>
        <w:tc>
          <w:tcPr>
            <w:tcW w:w="4723" w:type="dxa"/>
            <w:shd w:val="clear" w:color="auto" w:fill="auto"/>
            <w:vAlign w:val="center"/>
          </w:tcPr>
          <w:p w14:paraId="485BE4EB">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16A97D36">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7EF30F29">
            <w:pPr>
              <w:jc w:val="left"/>
              <w:outlineLvl w:val="9"/>
              <w:rPr>
                <w:rFonts w:hint="eastAsia" w:ascii="宋体" w:hAnsi="宋体" w:cs="宋体"/>
                <w:color w:val="000000"/>
                <w:highlight w:val="none"/>
              </w:rPr>
            </w:pPr>
            <w:r>
              <w:rPr>
                <w:rFonts w:hint="eastAsia" w:ascii="宋体" w:hAnsi="宋体" w:cs="宋体"/>
                <w:color w:val="000000"/>
                <w:highlight w:val="none"/>
                <w:lang w:val="en-US" w:eastAsia="zh-CN"/>
              </w:rPr>
              <w:t>配送服务承诺书（如有耗材/试剂）</w:t>
            </w:r>
          </w:p>
        </w:tc>
        <w:tc>
          <w:tcPr>
            <w:tcW w:w="4723" w:type="dxa"/>
            <w:vAlign w:val="center"/>
          </w:tcPr>
          <w:p w14:paraId="4D998C5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3A1B935">
      <w:pPr>
        <w:outlineLvl w:val="9"/>
        <w:rPr>
          <w:rFonts w:hint="eastAsia" w:ascii="宋体" w:hAnsi="宋体" w:cs="宋体"/>
          <w:color w:val="000000"/>
          <w:sz w:val="20"/>
          <w:highlight w:val="none"/>
        </w:rPr>
      </w:pPr>
      <w:r>
        <w:rPr>
          <w:rFonts w:hint="eastAsia" w:ascii="宋体" w:hAnsi="宋体" w:cs="宋体"/>
          <w:color w:val="000000"/>
          <w:sz w:val="20"/>
          <w:highlight w:val="none"/>
        </w:rPr>
        <w:t xml:space="preserve">  </w:t>
      </w:r>
      <w:bookmarkStart w:id="42" w:name="_Toc11959"/>
      <w:r>
        <w:rPr>
          <w:rFonts w:hint="eastAsia" w:ascii="宋体" w:hAnsi="宋体" w:cs="宋体"/>
          <w:color w:val="000000"/>
          <w:sz w:val="20"/>
          <w:highlight w:val="none"/>
        </w:rPr>
        <w:t xml:space="preserve">  </w:t>
      </w:r>
    </w:p>
    <w:p w14:paraId="095C5DFD">
      <w:pPr>
        <w:outlineLvl w:val="9"/>
        <w:rPr>
          <w:rFonts w:hint="eastAsia" w:ascii="宋体" w:hAnsi="宋体" w:cs="宋体"/>
          <w:color w:val="000000"/>
          <w:sz w:val="20"/>
          <w:highlight w:val="none"/>
        </w:rPr>
      </w:pPr>
      <w:r>
        <w:rPr>
          <w:rFonts w:hint="eastAsia" w:ascii="宋体" w:hAnsi="宋体" w:cs="宋体"/>
          <w:color w:val="000000"/>
          <w:sz w:val="20"/>
          <w:highlight w:val="none"/>
        </w:rPr>
        <w:br w:type="page"/>
      </w:r>
    </w:p>
    <w:p w14:paraId="7F353C68">
      <w:pPr>
        <w:outlineLvl w:val="9"/>
        <w:rPr>
          <w:rFonts w:hint="eastAsia" w:ascii="宋体" w:hAnsi="宋体" w:cs="宋体"/>
          <w:b/>
          <w:color w:val="000000"/>
          <w:sz w:val="32"/>
          <w:szCs w:val="32"/>
          <w:highlight w:val="none"/>
        </w:rPr>
      </w:pPr>
      <w:r>
        <w:rPr>
          <w:rFonts w:hint="eastAsia" w:ascii="宋体" w:hAnsi="宋体" w:cs="宋体"/>
          <w:color w:val="000000"/>
          <w:sz w:val="20"/>
          <w:highlight w:val="none"/>
        </w:rPr>
        <w:t xml:space="preserve"> </w:t>
      </w:r>
      <w:bookmarkStart w:id="43" w:name="_Toc17823"/>
      <w:bookmarkStart w:id="44" w:name="_Toc3702"/>
      <w:r>
        <w:rPr>
          <w:rFonts w:hint="eastAsia" w:ascii="宋体" w:hAnsi="宋体" w:cs="宋体"/>
          <w:b/>
          <w:color w:val="000000"/>
          <w:sz w:val="32"/>
          <w:szCs w:val="32"/>
          <w:highlight w:val="none"/>
        </w:rPr>
        <w:t>三、评分办法—综合评分法</w:t>
      </w:r>
      <w:bookmarkEnd w:id="42"/>
      <w:bookmarkEnd w:id="43"/>
      <w:bookmarkEnd w:id="44"/>
    </w:p>
    <w:p w14:paraId="70EEF8EA">
      <w:pPr>
        <w:pStyle w:val="323"/>
        <w:shd w:val="clear" w:color="auto" w:fill="auto"/>
        <w:spacing w:line="240" w:lineRule="auto"/>
        <w:ind w:firstLine="422"/>
        <w:outlineLvl w:val="9"/>
        <w:rPr>
          <w:rFonts w:hint="eastAsia" w:ascii="宋体" w:hAnsi="宋体" w:cs="宋体"/>
          <w:b/>
          <w:color w:val="000000"/>
          <w:sz w:val="28"/>
          <w:szCs w:val="28"/>
          <w:highlight w:val="none"/>
        </w:rPr>
      </w:pPr>
      <w:r>
        <w:rPr>
          <w:rFonts w:hint="eastAsia" w:ascii="宋体" w:hAnsi="宋体" w:cs="宋体"/>
          <w:b/>
          <w:color w:val="000000"/>
          <w:sz w:val="28"/>
          <w:szCs w:val="28"/>
          <w:highlight w:val="none"/>
          <w:lang w:val="en-US" w:eastAsia="zh-CN"/>
        </w:rPr>
        <w:t>1</w:t>
      </w:r>
      <w:r>
        <w:rPr>
          <w:rFonts w:hint="eastAsia" w:ascii="宋体" w:hAnsi="宋体" w:cs="宋体"/>
          <w:b/>
          <w:color w:val="000000"/>
          <w:sz w:val="28"/>
          <w:szCs w:val="28"/>
          <w:highlight w:val="none"/>
        </w:rPr>
        <w:t>、评审标准</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382AC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730" w:type="dxa"/>
            <w:noWrap w:val="0"/>
            <w:vAlign w:val="top"/>
          </w:tcPr>
          <w:p w14:paraId="2DEF71BD">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价格分（3</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r>
              <w:rPr>
                <w:rFonts w:hint="eastAsia" w:ascii="宋体" w:hAnsi="宋体" w:eastAsia="宋体" w:cs="Times New Roman"/>
                <w:b/>
                <w:bCs/>
                <w:color w:val="000000"/>
                <w:sz w:val="24"/>
                <w:highlight w:val="none"/>
              </w:rPr>
              <w:t xml:space="preserve"> </w:t>
            </w:r>
          </w:p>
          <w:p w14:paraId="589DAF4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Cs/>
                <w:color w:val="000000"/>
                <w:sz w:val="24"/>
                <w:highlight w:val="none"/>
              </w:rPr>
              <w:t>1.1</w:t>
            </w:r>
            <w:r>
              <w:rPr>
                <w:rFonts w:hint="default" w:ascii="宋体" w:hAnsi="宋体" w:eastAsia="宋体" w:cs="Times New Roman"/>
                <w:bCs/>
                <w:color w:val="000000"/>
                <w:sz w:val="24"/>
                <w:highlight w:val="none"/>
              </w:rPr>
              <w:t>价格分采用低价优先法计算，即满足采购文件要求且</w:t>
            </w:r>
            <w:r>
              <w:rPr>
                <w:rFonts w:hint="eastAsia" w:ascii="宋体" w:hAnsi="宋体" w:eastAsia="宋体" w:cs="Times New Roman"/>
                <w:bCs/>
                <w:color w:val="000000"/>
                <w:sz w:val="24"/>
                <w:highlight w:val="none"/>
              </w:rPr>
              <w:t>投标价格</w:t>
            </w:r>
            <w:r>
              <w:rPr>
                <w:rFonts w:hint="default" w:ascii="宋体" w:hAnsi="宋体" w:eastAsia="宋体" w:cs="Times New Roman"/>
                <w:bCs/>
                <w:color w:val="000000"/>
                <w:sz w:val="24"/>
                <w:highlight w:val="none"/>
              </w:rPr>
              <w:t>最低的供应商</w:t>
            </w:r>
            <w:r>
              <w:rPr>
                <w:rFonts w:hint="eastAsia" w:ascii="宋体" w:hAnsi="宋体" w:eastAsia="宋体" w:cs="Times New Roman"/>
                <w:bCs/>
                <w:color w:val="000000"/>
                <w:sz w:val="24"/>
                <w:highlight w:val="none"/>
              </w:rPr>
              <w:t>投标</w:t>
            </w:r>
            <w:r>
              <w:rPr>
                <w:rFonts w:hint="default" w:ascii="宋体" w:hAnsi="宋体" w:eastAsia="宋体" w:cs="Times New Roman"/>
                <w:bCs/>
                <w:color w:val="000000"/>
                <w:sz w:val="24"/>
                <w:highlight w:val="none"/>
              </w:rPr>
              <w:t>报价为评标基准价，其价格分为满分</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分，其它投标人的价格分统一按照以下公式计算：投标报价得分=（评标基准价/该投标人的投标报价）×</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分。分值保留小数点后</w:t>
            </w:r>
            <w:r>
              <w:rPr>
                <w:rFonts w:hint="eastAsia" w:ascii="宋体" w:hAnsi="宋体" w:eastAsia="宋体" w:cs="Times New Roman"/>
                <w:bCs/>
                <w:color w:val="000000"/>
                <w:sz w:val="24"/>
                <w:highlight w:val="none"/>
                <w:lang w:val="en-US" w:eastAsia="zh-CN"/>
              </w:rPr>
              <w:t>2</w:t>
            </w:r>
            <w:r>
              <w:rPr>
                <w:rFonts w:hint="default" w:ascii="宋体" w:hAnsi="宋体" w:eastAsia="宋体" w:cs="Times New Roman"/>
                <w:bCs/>
                <w:color w:val="000000"/>
                <w:sz w:val="24"/>
                <w:highlight w:val="none"/>
              </w:rPr>
              <w:t>位。</w:t>
            </w:r>
          </w:p>
          <w:p w14:paraId="2D7C2BD8">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lang w:val="en-US" w:eastAsia="zh-CN"/>
              </w:rPr>
              <w:t>二</w:t>
            </w: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rPr>
              <w:t>技术</w:t>
            </w:r>
            <w:r>
              <w:rPr>
                <w:rFonts w:hint="eastAsia" w:ascii="宋体" w:hAnsi="宋体" w:eastAsia="宋体" w:cs="Times New Roman"/>
                <w:b/>
                <w:bCs/>
                <w:color w:val="000000"/>
                <w:sz w:val="24"/>
                <w:highlight w:val="none"/>
                <w:lang w:val="en-US" w:eastAsia="zh-CN"/>
              </w:rPr>
              <w:t>规格</w:t>
            </w:r>
            <w:r>
              <w:rPr>
                <w:rFonts w:hint="eastAsia" w:ascii="宋体" w:hAnsi="宋体" w:eastAsia="宋体" w:cs="Times New Roman"/>
                <w:b/>
                <w:bCs/>
                <w:color w:val="000000"/>
                <w:sz w:val="24"/>
                <w:highlight w:val="none"/>
              </w:rPr>
              <w:t>响应情况（</w:t>
            </w:r>
            <w:r>
              <w:rPr>
                <w:rFonts w:hint="eastAsia" w:ascii="宋体" w:hAnsi="宋体" w:cs="Times New Roman"/>
                <w:b/>
                <w:bCs/>
                <w:color w:val="000000"/>
                <w:sz w:val="24"/>
                <w:highlight w:val="none"/>
                <w:lang w:val="en-US" w:eastAsia="zh-CN"/>
              </w:rPr>
              <w:t>32</w:t>
            </w:r>
            <w:r>
              <w:rPr>
                <w:rFonts w:hint="eastAsia" w:ascii="宋体" w:hAnsi="宋体" w:eastAsia="宋体" w:cs="Times New Roman"/>
                <w:b/>
                <w:bCs/>
                <w:color w:val="000000"/>
                <w:sz w:val="24"/>
                <w:highlight w:val="none"/>
              </w:rPr>
              <w:t>分）</w:t>
            </w:r>
          </w:p>
          <w:p w14:paraId="21DAC64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rPr>
              <w:t>2.1</w:t>
            </w:r>
            <w:r>
              <w:rPr>
                <w:rFonts w:hint="eastAsia" w:ascii="宋体" w:hAnsi="宋体" w:eastAsia="宋体" w:cs="Times New Roman"/>
                <w:bCs/>
                <w:color w:val="000000"/>
                <w:sz w:val="24"/>
                <w:highlight w:val="none"/>
                <w:lang w:val="en-US" w:eastAsia="zh-CN"/>
              </w:rPr>
              <w:t>根据投标人提供的技术参数偏离表，并结合所投产品的证明材料，参照招标文件对产品技术参数、性能的要求进行评议。完全满足招标文件技术参数要求的得3</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分。带★技术指标为核心参数，有一项负偏离则视为投标产品不符合采购需求，投标供应商取消竞资格；带△号的技术指标为重要技术指标，带△的参数要求每负偏离一个扣</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分；一般参数要求每负偏离一个扣1</w:t>
            </w: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分（缺项漏项视为负偏离）</w:t>
            </w:r>
            <w:r>
              <w:rPr>
                <w:rFonts w:hint="eastAsia" w:ascii="宋体" w:hAnsi="宋体" w:eastAsia="宋体" w:cs="Times New Roman"/>
                <w:bCs/>
                <w:color w:val="000000"/>
                <w:sz w:val="24"/>
                <w:highlight w:val="none"/>
              </w:rPr>
              <w:t>。</w:t>
            </w:r>
          </w:p>
          <w:p w14:paraId="6AD31B7E">
            <w:pPr>
              <w:keepNext w:val="0"/>
              <w:keepLines w:val="0"/>
              <w:pageBreakBefore w:val="0"/>
              <w:widowControl w:val="0"/>
              <w:kinsoku/>
              <w:wordWrap/>
              <w:overflowPunct/>
              <w:topLinePunct w:val="0"/>
              <w:autoSpaceDE/>
              <w:autoSpaceDN/>
              <w:bidi w:val="0"/>
              <w:adjustRightInd w:val="0"/>
              <w:snapToGrid w:val="0"/>
              <w:spacing w:after="0" w:line="400" w:lineRule="exact"/>
              <w:ind w:firstLine="482" w:firstLineChars="200"/>
              <w:textAlignment w:val="auto"/>
              <w:outlineLvl w:val="9"/>
              <w:rPr>
                <w:rFonts w:hint="eastAsia" w:ascii="宋体" w:hAnsi="宋体" w:eastAsia="宋体" w:cs="Times New Roman"/>
                <w:b/>
                <w:bCs w:val="0"/>
                <w:color w:val="000000"/>
                <w:sz w:val="24"/>
                <w:highlight w:val="none"/>
              </w:rPr>
            </w:pPr>
            <w:r>
              <w:rPr>
                <w:rFonts w:hint="eastAsia" w:ascii="宋体" w:hAnsi="宋体" w:eastAsia="宋体" w:cs="Times New Roman"/>
                <w:b/>
                <w:bCs w:val="0"/>
                <w:color w:val="000000"/>
                <w:sz w:val="24"/>
                <w:highlight w:val="none"/>
              </w:rPr>
              <w:t>（投标人需按照本采购文件第四章的技术要求，在“技术参数响应及偏离表”中如实详细填列所投产品的参数，并按采购文件要求提供相应证明材料并在偏离表中标明所在页码，否则评标委员会有权做负偏离处理）</w:t>
            </w:r>
          </w:p>
          <w:p w14:paraId="00165C1D">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000000"/>
                <w:sz w:val="24"/>
                <w:highlight w:val="none"/>
                <w:lang w:eastAsia="zh-CN"/>
              </w:rPr>
            </w:pPr>
            <w:r>
              <w:rPr>
                <w:rFonts w:hint="eastAsia" w:ascii="宋体" w:hAnsi="宋体" w:cs="Times New Roman"/>
                <w:b/>
                <w:bCs w:val="0"/>
                <w:color w:val="000000"/>
                <w:sz w:val="24"/>
                <w:highlight w:val="none"/>
                <w:lang w:eastAsia="zh-CN"/>
              </w:rPr>
              <w:t>免费质保期（</w:t>
            </w:r>
            <w:r>
              <w:rPr>
                <w:rFonts w:hint="eastAsia" w:ascii="宋体" w:hAnsi="宋体" w:cs="Times New Roman"/>
                <w:b/>
                <w:bCs w:val="0"/>
                <w:color w:val="000000"/>
                <w:sz w:val="24"/>
                <w:highlight w:val="none"/>
                <w:lang w:val="en-US" w:eastAsia="zh-CN"/>
              </w:rPr>
              <w:t>8分</w:t>
            </w:r>
            <w:r>
              <w:rPr>
                <w:rFonts w:hint="eastAsia" w:ascii="宋体" w:hAnsi="宋体" w:cs="Times New Roman"/>
                <w:b/>
                <w:bCs w:val="0"/>
                <w:color w:val="000000"/>
                <w:sz w:val="24"/>
                <w:highlight w:val="none"/>
                <w:lang w:eastAsia="zh-CN"/>
              </w:rPr>
              <w:t>）</w:t>
            </w:r>
          </w:p>
          <w:p w14:paraId="4BC416D8">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auto"/>
                <w:sz w:val="24"/>
                <w:highlight w:val="none"/>
                <w:lang w:val="en-US" w:eastAsia="zh-CN"/>
              </w:rPr>
            </w:pPr>
            <w:r>
              <w:rPr>
                <w:rFonts w:hint="eastAsia" w:ascii="宋体" w:hAnsi="宋体" w:cs="Times New Roman"/>
                <w:bCs/>
                <w:color w:val="000000"/>
                <w:sz w:val="24"/>
                <w:highlight w:val="none"/>
                <w:lang w:val="en-US" w:eastAsia="zh-CN"/>
              </w:rPr>
              <w:t>满足</w:t>
            </w:r>
            <w:r>
              <w:rPr>
                <w:rFonts w:hint="eastAsia" w:ascii="宋体" w:hAnsi="宋体" w:eastAsia="宋体" w:cs="Times New Roman"/>
                <w:bCs/>
                <w:color w:val="000000"/>
                <w:sz w:val="24"/>
                <w:highlight w:val="none"/>
                <w:lang w:val="en-US" w:eastAsia="zh-CN"/>
              </w:rPr>
              <w:t>基础质保期</w:t>
            </w:r>
            <w:r>
              <w:rPr>
                <w:rFonts w:hint="eastAsia" w:ascii="宋体" w:hAnsi="宋体" w:eastAsia="宋体" w:cs="Times New Roman"/>
                <w:bCs/>
                <w:color w:val="auto"/>
                <w:sz w:val="24"/>
                <w:highlight w:val="none"/>
                <w:lang w:val="en-US" w:eastAsia="zh-CN"/>
              </w:rPr>
              <w:t>，</w:t>
            </w:r>
            <w:r>
              <w:rPr>
                <w:rFonts w:hint="eastAsia" w:ascii="宋体" w:hAnsi="宋体" w:cs="Times New Roman"/>
                <w:bCs/>
                <w:color w:val="auto"/>
                <w:sz w:val="24"/>
                <w:highlight w:val="none"/>
                <w:lang w:val="en-US" w:eastAsia="zh-CN"/>
              </w:rPr>
              <w:t>基础分2分，</w:t>
            </w:r>
            <w:r>
              <w:rPr>
                <w:rFonts w:hint="eastAsia" w:ascii="宋体" w:hAnsi="宋体" w:eastAsia="宋体" w:cs="Times New Roman"/>
                <w:bCs/>
                <w:color w:val="auto"/>
                <w:sz w:val="24"/>
                <w:highlight w:val="none"/>
                <w:lang w:val="en-US" w:eastAsia="zh-CN"/>
              </w:rPr>
              <w:t>每增加1年增加</w:t>
            </w:r>
            <w:r>
              <w:rPr>
                <w:rFonts w:hint="eastAsia" w:ascii="宋体" w:hAnsi="宋体" w:cs="Times New Roman"/>
                <w:bCs/>
                <w:color w:val="auto"/>
                <w:sz w:val="24"/>
                <w:highlight w:val="none"/>
                <w:lang w:val="en-US" w:eastAsia="zh-CN"/>
              </w:rPr>
              <w:t>1</w:t>
            </w:r>
            <w:r>
              <w:rPr>
                <w:rFonts w:hint="eastAsia" w:ascii="宋体" w:hAnsi="宋体" w:eastAsia="宋体" w:cs="Times New Roman"/>
                <w:bCs/>
                <w:color w:val="auto"/>
                <w:sz w:val="24"/>
                <w:highlight w:val="none"/>
                <w:lang w:val="en-US" w:eastAsia="zh-CN"/>
              </w:rPr>
              <w:t>分，最高</w:t>
            </w:r>
            <w:r>
              <w:rPr>
                <w:rFonts w:hint="eastAsia" w:ascii="宋体" w:hAnsi="宋体" w:cs="Times New Roman"/>
                <w:bCs/>
                <w:color w:val="auto"/>
                <w:sz w:val="24"/>
                <w:highlight w:val="none"/>
                <w:lang w:val="en-US" w:eastAsia="zh-CN"/>
              </w:rPr>
              <w:t>8</w:t>
            </w:r>
            <w:r>
              <w:rPr>
                <w:rFonts w:hint="eastAsia" w:ascii="宋体" w:hAnsi="宋体" w:eastAsia="宋体" w:cs="Times New Roman"/>
                <w:bCs/>
                <w:color w:val="auto"/>
                <w:sz w:val="24"/>
                <w:highlight w:val="none"/>
                <w:lang w:val="en-US" w:eastAsia="zh-CN"/>
              </w:rPr>
              <w:t>分。</w:t>
            </w:r>
          </w:p>
          <w:p w14:paraId="40376E72">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auto"/>
                <w:sz w:val="24"/>
                <w:highlight w:val="none"/>
                <w:lang w:eastAsia="zh-CN"/>
              </w:rPr>
            </w:pPr>
            <w:r>
              <w:rPr>
                <w:rFonts w:hint="eastAsia" w:ascii="宋体" w:hAnsi="宋体" w:cs="Times New Roman"/>
                <w:b/>
                <w:bCs w:val="0"/>
                <w:color w:val="auto"/>
                <w:sz w:val="24"/>
                <w:highlight w:val="none"/>
                <w:lang w:eastAsia="zh-CN"/>
              </w:rPr>
              <w:t>设备使用寿命（</w:t>
            </w:r>
            <w:r>
              <w:rPr>
                <w:rFonts w:hint="eastAsia" w:ascii="宋体" w:hAnsi="宋体" w:cs="Times New Roman"/>
                <w:b/>
                <w:bCs w:val="0"/>
                <w:color w:val="auto"/>
                <w:sz w:val="24"/>
                <w:highlight w:val="none"/>
                <w:lang w:val="en-US" w:eastAsia="zh-CN"/>
              </w:rPr>
              <w:t>8分</w:t>
            </w:r>
            <w:r>
              <w:rPr>
                <w:rFonts w:hint="eastAsia" w:ascii="宋体" w:hAnsi="宋体" w:cs="Times New Roman"/>
                <w:b/>
                <w:bCs w:val="0"/>
                <w:color w:val="auto"/>
                <w:sz w:val="24"/>
                <w:highlight w:val="none"/>
                <w:lang w:eastAsia="zh-CN"/>
              </w:rPr>
              <w:t>）</w:t>
            </w:r>
          </w:p>
          <w:p w14:paraId="0B38CE3C">
            <w:pPr>
              <w:keepNext w:val="0"/>
              <w:keepLines w:val="0"/>
              <w:pageBreakBefore w:val="0"/>
              <w:widowControl w:val="0"/>
              <w:shd w:val="clear"/>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cs="Times New Roman"/>
                <w:bCs/>
                <w:color w:val="auto"/>
                <w:sz w:val="24"/>
                <w:highlight w:val="none"/>
                <w:lang w:val="en-US" w:eastAsia="zh-CN"/>
              </w:rPr>
              <w:t>基础使用寿命8年，</w:t>
            </w:r>
            <w:r>
              <w:rPr>
                <w:rFonts w:hint="eastAsia" w:ascii="宋体" w:hAnsi="宋体" w:cs="Times New Roman"/>
                <w:bCs/>
                <w:color w:val="000000"/>
                <w:sz w:val="24"/>
                <w:highlight w:val="none"/>
                <w:lang w:val="en-US" w:eastAsia="zh-CN"/>
              </w:rPr>
              <w:t>基础分2分，每增加一年增加1分，满分8分</w:t>
            </w:r>
            <w:r>
              <w:rPr>
                <w:rFonts w:hint="eastAsia" w:ascii="宋体" w:hAnsi="宋体" w:eastAsia="宋体" w:cs="Times New Roman"/>
                <w:bCs/>
                <w:color w:val="000000"/>
                <w:sz w:val="24"/>
                <w:highlight w:val="none"/>
                <w:lang w:val="en-US" w:eastAsia="zh-CN"/>
              </w:rPr>
              <w:t>。</w:t>
            </w:r>
          </w:p>
          <w:p w14:paraId="4CAE65B9">
            <w:pPr>
              <w:keepNext w:val="0"/>
              <w:keepLines w:val="0"/>
              <w:pageBreakBefore w:val="0"/>
              <w:widowControl w:val="0"/>
              <w:shd w:val="clea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）项目服务方案（</w:t>
            </w:r>
            <w:r>
              <w:rPr>
                <w:rFonts w:hint="eastAsia" w:ascii="宋体" w:hAnsi="宋体" w:cs="Times New Roman"/>
                <w:b/>
                <w:bCs/>
                <w:color w:val="000000"/>
                <w:sz w:val="24"/>
                <w:highlight w:val="none"/>
                <w:lang w:val="en-US" w:eastAsia="zh-CN"/>
              </w:rPr>
              <w:t>16</w:t>
            </w:r>
            <w:r>
              <w:rPr>
                <w:rFonts w:hint="eastAsia" w:ascii="宋体" w:hAnsi="宋体" w:eastAsia="宋体" w:cs="Times New Roman"/>
                <w:b/>
                <w:bCs/>
                <w:color w:val="000000"/>
                <w:sz w:val="24"/>
                <w:highlight w:val="none"/>
                <w:lang w:eastAsia="zh-CN"/>
              </w:rPr>
              <w:t>分）</w:t>
            </w:r>
          </w:p>
          <w:p w14:paraId="05BC7C5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5.1</w:t>
            </w:r>
            <w:r>
              <w:rPr>
                <w:rFonts w:hint="eastAsia" w:ascii="宋体" w:hAnsi="宋体" w:eastAsia="宋体" w:cs="Times New Roman"/>
                <w:bCs/>
                <w:color w:val="000000"/>
                <w:sz w:val="24"/>
                <w:highlight w:val="none"/>
                <w:lang w:val="en-US" w:eastAsia="zh-CN"/>
              </w:rPr>
              <w:t>设备到货、安装及调试方案</w:t>
            </w:r>
            <w:r>
              <w:rPr>
                <w:rFonts w:hint="eastAsia" w:ascii="宋体" w:hAnsi="宋体" w:cs="Times New Roman"/>
                <w:bCs/>
                <w:color w:val="000000"/>
                <w:sz w:val="24"/>
                <w:highlight w:val="none"/>
                <w:lang w:val="en-US" w:eastAsia="zh-CN"/>
              </w:rPr>
              <w:t>：</w:t>
            </w:r>
            <w:r>
              <w:rPr>
                <w:rFonts w:hint="eastAsia" w:ascii="宋体" w:hAnsi="宋体" w:eastAsia="宋体" w:cs="Times New Roman"/>
                <w:bCs/>
                <w:color w:val="000000"/>
                <w:sz w:val="24"/>
                <w:highlight w:val="none"/>
              </w:rPr>
              <w:t>根据供应商提供的设备到货安装方案、操作流程、配送方案及追溯措施、安装完成后与</w:t>
            </w:r>
            <w:r>
              <w:rPr>
                <w:rFonts w:hint="eastAsia" w:ascii="宋体" w:hAnsi="宋体" w:cs="Times New Roman"/>
                <w:bCs/>
                <w:color w:val="000000"/>
                <w:sz w:val="24"/>
                <w:highlight w:val="none"/>
                <w:lang w:val="en-US" w:eastAsia="zh-CN"/>
              </w:rPr>
              <w:t>采购</w:t>
            </w:r>
            <w:r>
              <w:rPr>
                <w:rFonts w:hint="eastAsia" w:ascii="宋体" w:hAnsi="宋体" w:eastAsia="宋体" w:cs="Times New Roman"/>
                <w:bCs/>
                <w:color w:val="000000"/>
                <w:sz w:val="24"/>
                <w:highlight w:val="none"/>
              </w:rPr>
              <w:t>人对接保障其运行方案</w:t>
            </w:r>
            <w:r>
              <w:rPr>
                <w:rFonts w:hint="eastAsia" w:ascii="宋体" w:hAnsi="宋体" w:cs="Times New Roman"/>
                <w:bCs/>
                <w:color w:val="000000"/>
                <w:sz w:val="24"/>
                <w:highlight w:val="none"/>
                <w:lang w:val="en-US" w:eastAsia="zh-CN"/>
              </w:rPr>
              <w:t>进行评审</w:t>
            </w:r>
            <w:r>
              <w:rPr>
                <w:rFonts w:hint="eastAsia" w:ascii="宋体" w:hAnsi="宋体" w:eastAsia="宋体" w:cs="Times New Roman"/>
                <w:bCs/>
                <w:color w:val="000000"/>
                <w:sz w:val="24"/>
                <w:highlight w:val="none"/>
              </w:rPr>
              <w:t>。</w:t>
            </w:r>
          </w:p>
          <w:p w14:paraId="2270B81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47D4BD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731AF11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1395FA8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2E1A973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.2培训方案：评标委员会对培训方案进行评审，培训计划及方案应包括但不限于：培训内容、培训方法、培训师资等。</w:t>
            </w:r>
          </w:p>
          <w:p w14:paraId="23CB7D0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w:t>
            </w:r>
            <w:r>
              <w:rPr>
                <w:rFonts w:hint="eastAsia" w:ascii="宋体" w:hAnsi="宋体" w:eastAsia="宋体" w:cs="Times New Roman"/>
                <w:bCs/>
                <w:color w:val="000000"/>
                <w:sz w:val="24"/>
                <w:highlight w:val="none"/>
                <w:lang w:val="en-US" w:eastAsia="zh-CN"/>
              </w:rPr>
              <w:t>培训内容非常丰富、培训师资配备非常充足</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00A38695">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w:t>
            </w:r>
            <w:r>
              <w:rPr>
                <w:rFonts w:hint="eastAsia" w:ascii="宋体" w:hAnsi="宋体" w:eastAsia="宋体" w:cs="Times New Roman"/>
                <w:bCs/>
                <w:color w:val="000000"/>
                <w:sz w:val="24"/>
                <w:highlight w:val="none"/>
                <w:lang w:val="en-US" w:eastAsia="zh-CN"/>
              </w:rPr>
              <w:t>培训内容较为丰富、培训师资配备齐全</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684F896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w:t>
            </w:r>
            <w:r>
              <w:rPr>
                <w:rFonts w:hint="eastAsia" w:ascii="宋体" w:hAnsi="宋体" w:eastAsia="宋体" w:cs="Times New Roman"/>
                <w:bCs/>
                <w:color w:val="000000"/>
                <w:sz w:val="24"/>
                <w:highlight w:val="none"/>
                <w:lang w:val="en-US" w:eastAsia="zh-CN"/>
              </w:rPr>
              <w:t>简单</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培训内容简单</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6FD5CC2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7160CB09">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3</w:t>
            </w:r>
            <w:r>
              <w:rPr>
                <w:rFonts w:hint="eastAsia" w:ascii="宋体" w:hAnsi="宋体" w:eastAsia="宋体" w:cs="Times New Roman"/>
                <w:bCs/>
                <w:color w:val="000000"/>
                <w:sz w:val="24"/>
                <w:highlight w:val="none"/>
              </w:rPr>
              <w:t>质量管理与控制方案：根据投标人提供的质量管理与控制方案进行综合评分（</w:t>
            </w:r>
            <w:r>
              <w:rPr>
                <w:rFonts w:hint="eastAsia" w:ascii="宋体" w:hAnsi="宋体" w:eastAsia="宋体" w:cs="Times New Roman"/>
                <w:bCs/>
                <w:color w:val="000000"/>
                <w:sz w:val="24"/>
                <w:highlight w:val="none"/>
                <w:lang w:val="en-US" w:eastAsia="zh-CN"/>
              </w:rPr>
              <w:t>包括但不限于使用过程中发现的质量问题进行跟踪和处理，明确质控/校准周期及服务方案</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eastAsia="zh-CN"/>
              </w:rPr>
              <w:t>。</w:t>
            </w:r>
          </w:p>
          <w:p w14:paraId="0DB5D5B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69E1C176">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10E53EC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541B76B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102934EF">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售后</w:t>
            </w:r>
            <w:r>
              <w:rPr>
                <w:rFonts w:hint="eastAsia" w:ascii="宋体" w:hAnsi="宋体" w:cs="Times New Roman"/>
                <w:bCs/>
                <w:color w:val="000000"/>
                <w:sz w:val="24"/>
                <w:highlight w:val="none"/>
                <w:lang w:val="en-US" w:eastAsia="zh-CN"/>
              </w:rPr>
              <w:t>服务</w:t>
            </w:r>
            <w:r>
              <w:rPr>
                <w:rFonts w:hint="eastAsia" w:ascii="宋体" w:hAnsi="宋体" w:eastAsia="宋体" w:cs="Times New Roman"/>
                <w:bCs/>
                <w:color w:val="000000"/>
                <w:sz w:val="24"/>
                <w:highlight w:val="none"/>
              </w:rPr>
              <w:t>方案：供应商根据项目需求提供售后服务方案，</w:t>
            </w:r>
            <w:r>
              <w:rPr>
                <w:rFonts w:hint="eastAsia" w:ascii="宋体" w:hAnsi="宋体" w:eastAsia="宋体" w:cs="Times New Roman"/>
                <w:bCs/>
                <w:color w:val="000000"/>
                <w:sz w:val="24"/>
                <w:highlight w:val="none"/>
                <w:lang w:val="en-US" w:eastAsia="zh-CN"/>
              </w:rPr>
              <w:t>包括但不限于售后服务体系、售后服务机构及人员、售后服务应答及处理时间，质保期内设备巡检、保养、质控等方案，质保期外设备易损件维修报价、整机质保服务报价等</w:t>
            </w:r>
            <w:r>
              <w:rPr>
                <w:rFonts w:hint="eastAsia" w:ascii="宋体" w:hAnsi="宋体" w:eastAsia="宋体" w:cs="Times New Roman"/>
                <w:bCs/>
                <w:color w:val="000000"/>
                <w:sz w:val="24"/>
                <w:highlight w:val="none"/>
              </w:rPr>
              <w:t>进行评审。</w:t>
            </w:r>
          </w:p>
          <w:p w14:paraId="2747F55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方案合理全面、响应时间迅速、服务人员齐备得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9DADB9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方案较合理、响应时间较迅速、服务人员较齐全得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分；</w:t>
            </w:r>
          </w:p>
          <w:p w14:paraId="2A71531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eastAsia="宋体" w:cs="Times New Roman"/>
                <w:bCs/>
                <w:color w:val="000000"/>
                <w:sz w:val="24"/>
                <w:highlight w:val="none"/>
              </w:rPr>
              <w:t>方案简单、响应时间速度一般得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分</w:t>
            </w:r>
            <w:r>
              <w:rPr>
                <w:rFonts w:hint="eastAsia" w:ascii="宋体" w:hAnsi="宋体" w:cs="Times New Roman"/>
                <w:bCs/>
                <w:color w:val="000000"/>
                <w:sz w:val="24"/>
                <w:highlight w:val="none"/>
                <w:lang w:eastAsia="zh-CN"/>
              </w:rPr>
              <w:t>；</w:t>
            </w:r>
          </w:p>
          <w:p w14:paraId="0819678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其他或未</w:t>
            </w:r>
            <w:r>
              <w:rPr>
                <w:rFonts w:hint="eastAsia" w:ascii="宋体" w:hAnsi="宋体" w:eastAsia="宋体" w:cs="Times New Roman"/>
                <w:bCs/>
                <w:color w:val="000000"/>
                <w:sz w:val="24"/>
                <w:highlight w:val="none"/>
              </w:rPr>
              <w:t>提供</w:t>
            </w:r>
            <w:r>
              <w:rPr>
                <w:rFonts w:hint="eastAsia" w:ascii="宋体" w:hAnsi="宋体" w:cs="Times New Roman"/>
                <w:bCs/>
                <w:color w:val="000000"/>
                <w:sz w:val="24"/>
                <w:highlight w:val="none"/>
                <w:lang w:eastAsia="zh-CN"/>
              </w:rPr>
              <w:t>的</w:t>
            </w:r>
            <w:r>
              <w:rPr>
                <w:rFonts w:hint="eastAsia" w:ascii="宋体" w:hAnsi="宋体" w:eastAsia="宋体" w:cs="Times New Roman"/>
                <w:bCs/>
                <w:color w:val="000000"/>
                <w:sz w:val="24"/>
                <w:highlight w:val="none"/>
              </w:rPr>
              <w:t>不得分。</w:t>
            </w:r>
          </w:p>
          <w:p w14:paraId="6525BDFB">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六</w:t>
            </w:r>
            <w:r>
              <w:rPr>
                <w:rFonts w:hint="eastAsia" w:ascii="宋体" w:hAnsi="宋体" w:eastAsia="宋体" w:cs="Times New Roman"/>
                <w:b/>
                <w:bCs/>
                <w:color w:val="000000"/>
                <w:sz w:val="24"/>
                <w:highlight w:val="none"/>
                <w:lang w:eastAsia="zh-CN"/>
              </w:rPr>
              <w:t>）投标人履约能力（</w:t>
            </w:r>
            <w:r>
              <w:rPr>
                <w:rFonts w:hint="eastAsia" w:ascii="宋体" w:hAnsi="宋体" w:cs="Times New Roman"/>
                <w:b/>
                <w:bCs/>
                <w:color w:val="000000"/>
                <w:sz w:val="24"/>
                <w:highlight w:val="none"/>
                <w:lang w:val="en-US" w:eastAsia="zh-CN"/>
              </w:rPr>
              <w:t>6</w:t>
            </w:r>
            <w:r>
              <w:rPr>
                <w:rFonts w:hint="eastAsia" w:ascii="宋体" w:hAnsi="宋体" w:eastAsia="宋体" w:cs="Times New Roman"/>
                <w:b/>
                <w:bCs/>
                <w:color w:val="000000"/>
                <w:sz w:val="24"/>
                <w:highlight w:val="none"/>
                <w:lang w:eastAsia="zh-CN"/>
              </w:rPr>
              <w:t>分）</w:t>
            </w:r>
          </w:p>
          <w:p w14:paraId="770F03A0">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.1根据投标人自202</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年1月1日以来的</w:t>
            </w:r>
            <w:r>
              <w:rPr>
                <w:rFonts w:hint="eastAsia" w:ascii="宋体" w:hAnsi="宋体" w:cs="Times New Roman"/>
                <w:bCs/>
                <w:color w:val="000000"/>
                <w:sz w:val="24"/>
                <w:highlight w:val="none"/>
                <w:lang w:val="en-US" w:eastAsia="zh-CN"/>
              </w:rPr>
              <w:t>同型号同供应商</w:t>
            </w:r>
            <w:r>
              <w:rPr>
                <w:rFonts w:hint="eastAsia" w:ascii="宋体" w:hAnsi="宋体" w:eastAsia="宋体" w:cs="Times New Roman"/>
                <w:bCs/>
                <w:color w:val="000000"/>
                <w:sz w:val="24"/>
                <w:highlight w:val="none"/>
                <w:lang w:val="en-US" w:eastAsia="zh-CN"/>
              </w:rPr>
              <w:t>项目销售业绩进行评分，每提供1个业绩证明得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分，最多得</w:t>
            </w: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分（提供合同、协议等证明材料，提供复印件加盖公章，复印件需清晰可见内容主体）。</w:t>
            </w:r>
          </w:p>
          <w:p w14:paraId="5461D2C3">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textAlignment w:val="auto"/>
              <w:outlineLvl w:val="9"/>
              <w:rPr>
                <w:rFonts w:hint="eastAsia" w:ascii="宋体" w:hAnsi="宋体" w:cs="Times New Roman"/>
                <w:b/>
                <w:bCs/>
                <w:color w:val="000000"/>
                <w:sz w:val="24"/>
                <w:highlight w:val="none"/>
                <w:lang w:val="en-US" w:eastAsia="zh-CN"/>
              </w:rPr>
            </w:pPr>
            <w:r>
              <w:rPr>
                <w:rFonts w:hint="eastAsia" w:ascii="宋体" w:hAnsi="宋体" w:eastAsia="宋体" w:cs="Times New Roman"/>
                <w:b/>
                <w:bCs/>
                <w:color w:val="000000"/>
                <w:sz w:val="24"/>
                <w:szCs w:val="22"/>
                <w:lang w:val="en-US" w:eastAsia="zh-CN" w:bidi="ar-SA"/>
              </w:rPr>
              <w:t>（</w:t>
            </w:r>
            <w:r>
              <w:rPr>
                <w:rFonts w:hint="eastAsia" w:ascii="宋体" w:hAnsi="宋体" w:cs="Times New Roman"/>
                <w:b/>
                <w:bCs/>
                <w:color w:val="000000"/>
                <w:sz w:val="24"/>
                <w:szCs w:val="22"/>
                <w:lang w:val="en-US" w:eastAsia="zh-CN" w:bidi="ar-SA"/>
              </w:rPr>
              <w:t>七</w:t>
            </w:r>
            <w:r>
              <w:rPr>
                <w:rFonts w:hint="eastAsia" w:ascii="宋体" w:hAnsi="宋体" w:eastAsia="宋体" w:cs="Times New Roman"/>
                <w:b/>
                <w:bCs/>
                <w:color w:val="000000"/>
                <w:sz w:val="24"/>
                <w:szCs w:val="22"/>
                <w:lang w:val="en-US" w:eastAsia="zh-CN" w:bidi="ar-SA"/>
              </w:rPr>
              <w:t>）</w:t>
            </w:r>
            <w:r>
              <w:rPr>
                <w:rFonts w:hint="eastAsia" w:ascii="宋体" w:hAnsi="宋体" w:eastAsia="宋体" w:cs="Times New Roman"/>
                <w:b/>
                <w:bCs/>
                <w:color w:val="000000"/>
                <w:sz w:val="24"/>
                <w:highlight w:val="none"/>
                <w:lang w:val="en-US" w:eastAsia="zh-CN"/>
              </w:rPr>
              <w:t>附加项</w:t>
            </w:r>
            <w:r>
              <w:rPr>
                <w:rFonts w:hint="eastAsia" w:ascii="宋体" w:hAnsi="宋体" w:cs="Times New Roman"/>
                <w:b/>
                <w:bCs/>
                <w:color w:val="000000"/>
                <w:sz w:val="24"/>
                <w:highlight w:val="none"/>
                <w:lang w:val="en-US" w:eastAsia="zh-CN"/>
              </w:rPr>
              <w:t>（+）</w:t>
            </w:r>
          </w:p>
          <w:p w14:paraId="4E38DF77">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cs="Times New Roman"/>
                <w:b/>
                <w:bCs/>
                <w:color w:val="000000"/>
                <w:sz w:val="24"/>
                <w:highlight w:val="none"/>
                <w:lang w:val="en-US" w:eastAsia="zh-CN"/>
              </w:rPr>
            </w:pPr>
            <w:r>
              <w:rPr>
                <w:rFonts w:hint="eastAsia" w:ascii="宋体" w:hAnsi="宋体" w:cs="Times New Roman"/>
                <w:bCs/>
                <w:color w:val="000000"/>
                <w:sz w:val="24"/>
                <w:highlight w:val="none"/>
                <w:lang w:val="en-US" w:eastAsia="zh-CN"/>
              </w:rPr>
              <w:t>若</w:t>
            </w:r>
            <w:r>
              <w:rPr>
                <w:rFonts w:hint="eastAsia" w:ascii="宋体" w:hAnsi="宋体" w:eastAsia="宋体" w:cs="Times New Roman"/>
                <w:bCs/>
                <w:color w:val="000000"/>
                <w:sz w:val="24"/>
                <w:highlight w:val="none"/>
                <w:lang w:val="en-US" w:eastAsia="zh-CN"/>
              </w:rPr>
              <w:t>有配套耗材/试剂的，</w:t>
            </w:r>
            <w:r>
              <w:rPr>
                <w:rFonts w:hint="eastAsia" w:ascii="宋体" w:hAnsi="宋体" w:cs="Times New Roman"/>
                <w:bCs/>
                <w:color w:val="000000"/>
                <w:sz w:val="24"/>
                <w:highlight w:val="none"/>
                <w:lang w:val="en-US" w:eastAsia="zh-CN"/>
              </w:rPr>
              <w:t>耗材/试剂</w:t>
            </w:r>
            <w:r>
              <w:rPr>
                <w:rFonts w:hint="eastAsia" w:ascii="宋体" w:hAnsi="宋体" w:eastAsia="宋体" w:cs="Times New Roman"/>
                <w:bCs/>
                <w:color w:val="000000"/>
                <w:sz w:val="24"/>
                <w:highlight w:val="none"/>
                <w:lang w:val="en-US" w:eastAsia="zh-CN"/>
              </w:rPr>
              <w:t>综合评价</w:t>
            </w:r>
            <w:r>
              <w:rPr>
                <w:rFonts w:hint="eastAsia" w:ascii="宋体" w:hAnsi="宋体" w:cs="Times New Roman"/>
                <w:bCs/>
                <w:color w:val="000000"/>
                <w:sz w:val="24"/>
                <w:highlight w:val="none"/>
                <w:lang w:val="en-US" w:eastAsia="zh-CN"/>
              </w:rPr>
              <w:t>情况将作为附加项</w:t>
            </w:r>
            <w:r>
              <w:rPr>
                <w:rFonts w:hint="eastAsia" w:ascii="宋体" w:hAnsi="宋体" w:eastAsia="宋体" w:cs="Times New Roman"/>
                <w:bCs/>
                <w:color w:val="000000"/>
                <w:sz w:val="24"/>
                <w:highlight w:val="none"/>
                <w:lang w:val="en-US" w:eastAsia="zh-CN"/>
              </w:rPr>
              <w:t>纳入设备综合评分结果。</w:t>
            </w:r>
          </w:p>
        </w:tc>
      </w:tr>
    </w:tbl>
    <w:p w14:paraId="72063563">
      <w:pPr>
        <w:shd w:val="clear" w:color="auto" w:fill="auto"/>
        <w:spacing w:line="240" w:lineRule="auto"/>
        <w:outlineLvl w:val="9"/>
        <w:rPr>
          <w:rFonts w:ascii="宋体" w:hAnsi="宋体"/>
          <w:b/>
          <w:bCs/>
          <w:color w:val="000000"/>
          <w:sz w:val="24"/>
          <w:szCs w:val="22"/>
          <w:highlight w:val="none"/>
        </w:rPr>
      </w:pPr>
      <w:r>
        <w:rPr>
          <w:rFonts w:hint="eastAsia" w:hAnsi="宋体"/>
          <w:b/>
          <w:color w:val="000000"/>
          <w:sz w:val="24"/>
          <w:szCs w:val="32"/>
          <w:highlight w:val="none"/>
        </w:rPr>
        <w:t>说明：</w:t>
      </w:r>
    </w:p>
    <w:p w14:paraId="709F449B">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1</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上述评分办法均以投标文件、评委的判断为准。</w:t>
      </w:r>
    </w:p>
    <w:p w14:paraId="5B372C68">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2</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评标委员会不保证有效报价最低的供应商成交。</w:t>
      </w:r>
    </w:p>
    <w:p w14:paraId="1B4ADB3C">
      <w:pPr>
        <w:widowControl/>
        <w:shd w:val="clear" w:color="auto" w:fill="auto"/>
        <w:spacing w:line="240" w:lineRule="auto"/>
        <w:ind w:firstLine="442"/>
        <w:outlineLvl w:val="9"/>
        <w:rPr>
          <w:rFonts w:hint="eastAsia"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3</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若供应商提供虚假资料，一经查实作无效</w:t>
      </w:r>
      <w:r>
        <w:rPr>
          <w:rFonts w:hint="eastAsia" w:ascii="宋体" w:hAnsi="宋体" w:cs="宋体"/>
          <w:b/>
          <w:bCs/>
          <w:color w:val="000000"/>
          <w:sz w:val="24"/>
          <w:szCs w:val="22"/>
          <w:highlight w:val="none"/>
          <w:lang w:val="en-US" w:eastAsia="zh-CN"/>
        </w:rPr>
        <w:t>响应文件</w:t>
      </w:r>
      <w:r>
        <w:rPr>
          <w:rFonts w:hint="eastAsia" w:ascii="宋体" w:hAnsi="宋体" w:cs="宋体"/>
          <w:b/>
          <w:bCs/>
          <w:color w:val="000000"/>
          <w:sz w:val="24"/>
          <w:szCs w:val="22"/>
          <w:highlight w:val="none"/>
          <w:lang w:val="zh-CN"/>
        </w:rPr>
        <w:t>处理。</w:t>
      </w:r>
    </w:p>
    <w:p w14:paraId="6DDB89DC">
      <w:pPr>
        <w:widowControl/>
        <w:shd w:val="clear" w:color="auto" w:fill="auto"/>
        <w:spacing w:line="240" w:lineRule="auto"/>
        <w:ind w:firstLine="442"/>
        <w:outlineLvl w:val="9"/>
        <w:rPr>
          <w:rFonts w:hint="default" w:ascii="宋体" w:hAnsi="宋体" w:eastAsia="宋体" w:cs="宋体"/>
          <w:b/>
          <w:bCs/>
          <w:color w:val="FF0000"/>
          <w:sz w:val="24"/>
          <w:szCs w:val="22"/>
          <w:highlight w:val="none"/>
          <w:lang w:val="en-US" w:eastAsia="zh-CN"/>
        </w:rPr>
      </w:pPr>
      <w:r>
        <w:rPr>
          <w:rFonts w:hint="eastAsia" w:ascii="宋体" w:hAnsi="宋体" w:cs="宋体"/>
          <w:b/>
          <w:bCs/>
          <w:color w:val="FF0000"/>
          <w:sz w:val="24"/>
          <w:szCs w:val="22"/>
          <w:highlight w:val="none"/>
          <w:lang w:val="en-US" w:eastAsia="zh-CN"/>
        </w:rPr>
        <w:t>4.有配套耗材/试剂的，耗材/试剂将按照《耗材/试剂评审标准》进行评价，评价结果将纳入设备综合评分附加项，按照最终综合评分进行排名。</w:t>
      </w:r>
    </w:p>
    <w:p w14:paraId="44292330">
      <w:pPr>
        <w:rPr>
          <w:rFonts w:hint="eastAsia"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br w:type="page"/>
      </w:r>
    </w:p>
    <w:p w14:paraId="5429E4C0">
      <w:pPr>
        <w:pStyle w:val="323"/>
        <w:shd w:val="clear" w:color="auto" w:fill="auto"/>
        <w:spacing w:line="240" w:lineRule="auto"/>
        <w:ind w:firstLine="422"/>
        <w:outlineLvl w:val="9"/>
        <w:rPr>
          <w:rFonts w:hint="default"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t>2、耗材/试剂评</w:t>
      </w:r>
      <w:r>
        <w:rPr>
          <w:rFonts w:hint="eastAsia" w:ascii="宋体" w:hAnsi="宋体" w:cs="宋体"/>
          <w:b/>
          <w:color w:val="000000"/>
          <w:sz w:val="28"/>
          <w:szCs w:val="28"/>
          <w:highlight w:val="none"/>
        </w:rPr>
        <w:t>审标准</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A2D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617A2C7">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w:t>
            </w:r>
            <w:r>
              <w:rPr>
                <w:rFonts w:hint="eastAsia" w:ascii="宋体" w:hAnsi="宋体" w:cs="Times New Roman"/>
                <w:b/>
                <w:bCs/>
                <w:color w:val="000000"/>
                <w:sz w:val="24"/>
                <w:highlight w:val="none"/>
                <w:lang w:val="en-US" w:eastAsia="zh-CN"/>
              </w:rPr>
              <w:t>4</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p>
          <w:p w14:paraId="6E7915E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1.1</w:t>
            </w:r>
            <w:r>
              <w:rPr>
                <w:rFonts w:hint="eastAsia" w:ascii="宋体" w:hAnsi="宋体" w:eastAsia="宋体" w:cs="Times New Roman"/>
                <w:bCs/>
                <w:color w:val="000000"/>
                <w:sz w:val="24"/>
                <w:highlight w:val="none"/>
                <w:lang w:val="zh-CN"/>
              </w:rPr>
              <w:t>报价最低者得满分（40分），最低报价为基准价，（基准价/供应商的报价）×满分40=供应商报价评分</w:t>
            </w:r>
          </w:p>
          <w:p w14:paraId="20BF78A7">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1.2</w:t>
            </w:r>
            <w:r>
              <w:rPr>
                <w:rFonts w:hint="eastAsia" w:ascii="宋体" w:hAnsi="宋体" w:eastAsia="宋体" w:cs="Times New Roman"/>
                <w:bCs/>
                <w:color w:val="000000"/>
                <w:sz w:val="24"/>
                <w:highlight w:val="none"/>
                <w:lang w:val="zh-CN"/>
              </w:rPr>
              <w:t>多个项目以项目收费占比平均值为报价</w:t>
            </w:r>
          </w:p>
          <w:p w14:paraId="1CB432AB">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二</w:t>
            </w:r>
            <w:r>
              <w:rPr>
                <w:rFonts w:hint="eastAsia" w:ascii="宋体" w:hAnsi="宋体" w:eastAsia="宋体" w:cs="Times New Roman"/>
                <w:b/>
                <w:bCs/>
                <w:color w:val="000000"/>
                <w:sz w:val="24"/>
                <w:highlight w:val="none"/>
                <w:lang w:eastAsia="zh-CN"/>
              </w:rPr>
              <w:t>）产品采购平台性质及医保情况</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5665A2DF">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2.1</w:t>
            </w:r>
            <w:r>
              <w:rPr>
                <w:rFonts w:hint="eastAsia" w:ascii="宋体" w:hAnsi="宋体" w:eastAsia="宋体" w:cs="Times New Roman"/>
                <w:bCs/>
                <w:color w:val="000000"/>
                <w:sz w:val="24"/>
                <w:szCs w:val="22"/>
                <w:highlight w:val="none"/>
                <w:lang w:val="zh-CN" w:eastAsia="zh-CN" w:bidi="ar-SA"/>
              </w:rPr>
              <w:t>南京市医保甲类得5分、乙类得3分、丙类的1分，非医保则不得分。提供医保平台截图。（除项目收费及科室成本类耗材）。</w:t>
            </w:r>
          </w:p>
          <w:p w14:paraId="189B7336">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2.2</w:t>
            </w:r>
            <w:r>
              <w:rPr>
                <w:rFonts w:hint="eastAsia" w:ascii="宋体" w:hAnsi="宋体" w:eastAsia="宋体" w:cs="Times New Roman"/>
                <w:bCs/>
                <w:color w:val="000000"/>
                <w:sz w:val="24"/>
                <w:szCs w:val="22"/>
                <w:highlight w:val="none"/>
                <w:lang w:val="zh-CN" w:eastAsia="zh-CN" w:bidi="ar-SA"/>
              </w:rPr>
              <w:t>南京市采购平台产品性质为“优先”（南京市医保采购平台产品截图）得10分、南京市采购平台产品性质为“鼓励”得5分（南京市医保采购平台产品截图），如否则不得分。</w:t>
            </w:r>
          </w:p>
          <w:p w14:paraId="4B179609">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三</w:t>
            </w:r>
            <w:r>
              <w:rPr>
                <w:rFonts w:hint="eastAsia" w:ascii="宋体" w:hAnsi="宋体" w:eastAsia="宋体" w:cs="Times New Roman"/>
                <w:b/>
                <w:bCs/>
                <w:color w:val="000000"/>
                <w:sz w:val="24"/>
                <w:highlight w:val="none"/>
                <w:lang w:eastAsia="zh-CN"/>
              </w:rPr>
              <w:t>）产品性能</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20</w:t>
            </w:r>
            <w:r>
              <w:rPr>
                <w:rFonts w:hint="eastAsia" w:ascii="宋体" w:hAnsi="宋体" w:eastAsia="宋体" w:cs="Times New Roman"/>
                <w:b/>
                <w:bCs/>
                <w:color w:val="000000"/>
                <w:sz w:val="24"/>
                <w:highlight w:val="none"/>
                <w:lang w:eastAsia="zh-CN"/>
              </w:rPr>
              <w:t>分）</w:t>
            </w:r>
          </w:p>
          <w:p w14:paraId="1318EC7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评审专家现场根据产品的样品，结合彩页、说明书等对产品的性能、操作性等进行评分。</w:t>
            </w:r>
          </w:p>
          <w:p w14:paraId="02BBCA8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优于临床使用需求得20分；</w:t>
            </w:r>
          </w:p>
          <w:p w14:paraId="10297922">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符合临床使用需求得15分；</w:t>
            </w:r>
          </w:p>
          <w:p w14:paraId="2572DD0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基本满足临床使用需得10分；</w:t>
            </w:r>
          </w:p>
          <w:p w14:paraId="27091389">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cs="Times New Roman"/>
                <w:bCs/>
                <w:color w:val="000000"/>
                <w:sz w:val="24"/>
                <w:szCs w:val="22"/>
                <w:highlight w:val="none"/>
                <w:lang w:val="en-US" w:eastAsia="zh-CN" w:bidi="ar-SA"/>
              </w:rPr>
              <w:t>不满足临床使用需求0分。</w:t>
            </w:r>
          </w:p>
          <w:p w14:paraId="5607BFC2">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四</w:t>
            </w:r>
            <w:r>
              <w:rPr>
                <w:rFonts w:hint="eastAsia" w:ascii="宋体" w:hAnsi="宋体" w:eastAsia="宋体" w:cs="Times New Roman"/>
                <w:b/>
                <w:bCs/>
                <w:color w:val="000000"/>
                <w:sz w:val="24"/>
                <w:highlight w:val="none"/>
                <w:lang w:eastAsia="zh-CN"/>
              </w:rPr>
              <w:t>）产品覆盖率</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10</w:t>
            </w:r>
            <w:r>
              <w:rPr>
                <w:rFonts w:hint="eastAsia" w:ascii="宋体" w:hAnsi="宋体" w:eastAsia="宋体" w:cs="Times New Roman"/>
                <w:b/>
                <w:bCs/>
                <w:color w:val="000000"/>
                <w:sz w:val="24"/>
                <w:highlight w:val="none"/>
                <w:lang w:eastAsia="zh-CN"/>
              </w:rPr>
              <w:t>分）</w:t>
            </w:r>
          </w:p>
          <w:p w14:paraId="74718840">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提供南京三级医院销售业绩，每份得2分，最高得10分</w:t>
            </w:r>
            <w:r>
              <w:rPr>
                <w:rFonts w:hint="eastAsia" w:ascii="宋体" w:hAnsi="宋体" w:eastAsia="宋体" w:cs="Times New Roman"/>
                <w:bCs/>
                <w:color w:val="000000"/>
                <w:sz w:val="24"/>
                <w:highlight w:val="none"/>
                <w:lang w:val="en-US" w:eastAsia="zh-CN"/>
              </w:rPr>
              <w:t>（提供合同、供货发票、送货单等证明材料，提供复印件加盖公章，复印件需清晰可见内容主体</w:t>
            </w:r>
            <w:r>
              <w:rPr>
                <w:rFonts w:hint="eastAsia" w:ascii="宋体" w:hAnsi="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同医院同产品算一份</w:t>
            </w:r>
            <w:r>
              <w:rPr>
                <w:rFonts w:hint="eastAsia" w:ascii="宋体" w:hAnsi="宋体" w:eastAsia="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w:t>
            </w:r>
          </w:p>
          <w:p w14:paraId="53241808">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售后服务（</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1F54E778">
            <w:pPr>
              <w:pStyle w:val="96"/>
              <w:spacing w:after="0" w:line="400" w:lineRule="exact"/>
              <w:ind w:firstLine="480" w:firstLineChars="200"/>
              <w:rPr>
                <w:rFonts w:ascii="宋体" w:hAnsi="宋体"/>
                <w:bCs/>
                <w:color w:val="000000"/>
                <w:sz w:val="24"/>
              </w:rPr>
            </w:pPr>
            <w:r>
              <w:rPr>
                <w:rFonts w:hint="eastAsia" w:ascii="宋体" w:hAnsi="宋体"/>
                <w:bCs/>
                <w:color w:val="000000"/>
                <w:sz w:val="24"/>
              </w:rPr>
              <w:t>配送方案完善、时效高，售后服务体系健全、响应及时，质保承诺全面，得15分；</w:t>
            </w:r>
          </w:p>
          <w:p w14:paraId="1740A6F6">
            <w:pPr>
              <w:pStyle w:val="96"/>
              <w:spacing w:after="0" w:line="400" w:lineRule="exact"/>
              <w:ind w:firstLine="480" w:firstLineChars="200"/>
              <w:rPr>
                <w:rFonts w:ascii="宋体" w:hAnsi="宋体"/>
                <w:bCs/>
                <w:color w:val="000000"/>
                <w:sz w:val="24"/>
              </w:rPr>
            </w:pPr>
            <w:r>
              <w:rPr>
                <w:rFonts w:hint="eastAsia" w:ascii="宋体" w:hAnsi="宋体"/>
                <w:bCs/>
                <w:color w:val="000000"/>
                <w:sz w:val="24"/>
              </w:rPr>
              <w:t>配送及售后方案基本完善，满足基础需求，得10分；</w:t>
            </w:r>
          </w:p>
          <w:p w14:paraId="4C42F71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bCs/>
                <w:color w:val="000000"/>
                <w:sz w:val="24"/>
              </w:rPr>
              <w:t>方案简单，保障能力不足，得5分。</w:t>
            </w:r>
          </w:p>
        </w:tc>
      </w:tr>
    </w:tbl>
    <w:p w14:paraId="21CDB6B7">
      <w:pPr>
        <w:pStyle w:val="96"/>
        <w:shd w:val="clear" w:color="auto" w:fill="auto"/>
        <w:outlineLvl w:val="9"/>
        <w:rPr>
          <w:rFonts w:hint="eastAsia" w:ascii="宋体" w:hAnsi="宋体" w:cs="宋体"/>
          <w:b/>
          <w:bCs/>
          <w:color w:val="000000"/>
          <w:sz w:val="22"/>
          <w:szCs w:val="21"/>
          <w:highlight w:val="none"/>
          <w:lang w:val="zh-CN"/>
        </w:rPr>
      </w:pPr>
    </w:p>
    <w:p w14:paraId="4B45DE0A">
      <w:pPr>
        <w:pStyle w:val="96"/>
        <w:shd w:val="clear" w:color="auto" w:fill="auto"/>
        <w:outlineLvl w:val="9"/>
        <w:rPr>
          <w:rFonts w:hint="eastAsia" w:ascii="宋体" w:hAnsi="宋体" w:cs="宋体"/>
          <w:b/>
          <w:bCs/>
          <w:color w:val="000000"/>
          <w:sz w:val="22"/>
          <w:szCs w:val="21"/>
          <w:highlight w:val="none"/>
          <w:lang w:val="zh-CN"/>
        </w:rPr>
        <w:sectPr>
          <w:pgSz w:w="11906" w:h="16838"/>
          <w:pgMar w:top="1270" w:right="1800" w:bottom="1270" w:left="1800" w:header="851" w:footer="992" w:gutter="0"/>
          <w:pgNumType w:fmt="decimal"/>
          <w:cols w:space="1701" w:num="1"/>
          <w:docGrid w:linePitch="360" w:charSpace="0"/>
        </w:sectPr>
      </w:pPr>
    </w:p>
    <w:bookmarkEnd w:id="1"/>
    <w:p w14:paraId="6D3395C2">
      <w:pPr>
        <w:pStyle w:val="2"/>
        <w:keepNext/>
        <w:keepLines/>
        <w:pageBreakBefore w:val="0"/>
        <w:widowControl w:val="0"/>
        <w:numPr>
          <w:ilvl w:val="0"/>
          <w:numId w:val="14"/>
        </w:numPr>
        <w:kinsoku/>
        <w:wordWrap/>
        <w:overflowPunct/>
        <w:topLinePunct w:val="0"/>
        <w:autoSpaceDE/>
        <w:autoSpaceDN/>
        <w:bidi w:val="0"/>
        <w:adjustRightInd/>
        <w:snapToGrid/>
        <w:spacing w:before="0"/>
        <w:textAlignment w:val="auto"/>
        <w:rPr>
          <w:rFonts w:hint="eastAsia"/>
          <w:lang w:val="en-US" w:eastAsia="zh-CN"/>
        </w:rPr>
      </w:pPr>
      <w:bookmarkStart w:id="45" w:name="_Toc9213"/>
      <w:r>
        <w:rPr>
          <w:rFonts w:hint="eastAsia"/>
        </w:rPr>
        <w:t>南京</w:t>
      </w:r>
      <w:r>
        <w:rPr>
          <w:rFonts w:hint="eastAsia"/>
          <w:lang w:eastAsia="zh-CN"/>
        </w:rPr>
        <w:t>市江宁</w:t>
      </w:r>
      <w:r>
        <w:rPr>
          <w:rFonts w:hint="eastAsia"/>
        </w:rPr>
        <w:t>医院</w:t>
      </w:r>
      <w:r>
        <w:rPr>
          <w:rFonts w:hint="eastAsia"/>
          <w:lang w:val="en-US" w:eastAsia="zh-CN"/>
        </w:rPr>
        <w:t>院内磋商响应文件目录</w:t>
      </w:r>
      <w:bookmarkEnd w:id="45"/>
    </w:p>
    <w:p w14:paraId="36FF8B49">
      <w:pPr>
        <w:keepNext w:val="0"/>
        <w:keepLines w:val="0"/>
        <w:pageBreakBefore w:val="0"/>
        <w:widowControl w:val="0"/>
        <w:kinsoku/>
        <w:wordWrap/>
        <w:overflowPunct/>
        <w:topLinePunct w:val="0"/>
        <w:autoSpaceDE/>
        <w:autoSpaceDN/>
        <w:bidi w:val="0"/>
        <w:adjustRightInd w:val="0"/>
        <w:snapToGrid w:val="0"/>
        <w:spacing w:after="160"/>
        <w:ind w:firstLine="480" w:firstLineChars="200"/>
        <w:contextualSpacing/>
        <w:textAlignment w:val="auto"/>
        <w:rPr>
          <w:rFonts w:hint="default" w:ascii="Times New Roman" w:hAnsi="Times New Roman" w:eastAsia="方正仿宋简体" w:cs="Times New Roman"/>
          <w:kern w:val="2"/>
          <w:sz w:val="24"/>
          <w:szCs w:val="24"/>
        </w:rPr>
      </w:pPr>
      <w:r>
        <w:rPr>
          <w:rFonts w:hint="default" w:ascii="Times New Roman" w:hAnsi="Times New Roman" w:eastAsia="方正仿宋简体" w:cs="Times New Roman"/>
          <w:kern w:val="2"/>
          <w:sz w:val="24"/>
          <w:szCs w:val="24"/>
        </w:rPr>
        <w:t>欢迎生产企业、经营企业以及潜在供应商前来我院</w:t>
      </w:r>
      <w:r>
        <w:rPr>
          <w:rFonts w:hint="eastAsia" w:ascii="Times New Roman" w:hAnsi="Times New Roman" w:eastAsia="方正仿宋简体" w:cs="Times New Roman"/>
          <w:kern w:val="2"/>
          <w:sz w:val="24"/>
          <w:szCs w:val="24"/>
          <w:lang w:eastAsia="zh-CN"/>
        </w:rPr>
        <w:t>参与该项目的院内磋商</w:t>
      </w:r>
      <w:r>
        <w:rPr>
          <w:rFonts w:hint="default" w:ascii="Times New Roman" w:hAnsi="Times New Roman" w:eastAsia="方正仿宋简体" w:cs="Times New Roman"/>
          <w:kern w:val="2"/>
          <w:sz w:val="24"/>
          <w:szCs w:val="24"/>
        </w:rPr>
        <w:t>。</w:t>
      </w:r>
      <w:r>
        <w:rPr>
          <w:rFonts w:hint="eastAsia" w:ascii="Times New Roman" w:hAnsi="Times New Roman" w:eastAsia="方正仿宋简体" w:cs="Times New Roman"/>
          <w:b/>
          <w:color w:val="FF0000"/>
          <w:kern w:val="2"/>
          <w:sz w:val="24"/>
          <w:szCs w:val="24"/>
          <w:lang w:eastAsia="zh-CN"/>
        </w:rPr>
        <w:t>请按照以下清单准备磋商标书资料</w:t>
      </w:r>
      <w:r>
        <w:rPr>
          <w:rFonts w:hint="default" w:ascii="Times New Roman" w:hAnsi="Times New Roman" w:eastAsia="方正仿宋简体" w:cs="Times New Roman"/>
          <w:b/>
          <w:color w:val="FF0000"/>
          <w:kern w:val="2"/>
          <w:sz w:val="24"/>
          <w:szCs w:val="24"/>
          <w:lang w:val="en-US" w:eastAsia="zh-CN"/>
        </w:rPr>
        <w:t>，</w:t>
      </w:r>
      <w:r>
        <w:rPr>
          <w:rFonts w:hint="default" w:ascii="Times New Roman" w:hAnsi="Times New Roman" w:eastAsia="方正仿宋简体" w:cs="Times New Roman"/>
          <w:b/>
          <w:color w:val="FF0000"/>
          <w:kern w:val="2"/>
          <w:sz w:val="24"/>
          <w:szCs w:val="24"/>
        </w:rPr>
        <w:t>并保证所提供的各种材料真实、有效、齐全，承担相应的法律责任。请按下列顺序装订</w:t>
      </w:r>
      <w:r>
        <w:rPr>
          <w:rFonts w:hint="default" w:ascii="Times New Roman" w:hAnsi="Times New Roman" w:eastAsia="方正仿宋简体" w:cs="Times New Roman"/>
          <w:kern w:val="2"/>
          <w:sz w:val="24"/>
          <w:szCs w:val="24"/>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4458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31DEB41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1D1E131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17FE54F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CD4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3A73C6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5BD3F16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lang w:val="en-US" w:eastAsia="zh-CN" w:bidi="ar-SA"/>
              </w:rPr>
              <w:t>封面</w:t>
            </w:r>
          </w:p>
        </w:tc>
        <w:tc>
          <w:tcPr>
            <w:tcW w:w="6433" w:type="dxa"/>
            <w:gridSpan w:val="4"/>
            <w:vAlign w:val="center"/>
          </w:tcPr>
          <w:p w14:paraId="4F181F1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lang w:val="en-US" w:eastAsia="zh-CN" w:bidi="ar-SA"/>
              </w:rPr>
            </w:pPr>
            <w:r>
              <w:rPr>
                <w:rFonts w:hint="default" w:ascii="Times New Roman" w:hAnsi="Times New Roman" w:eastAsia="方正仿宋简体" w:cs="Times New Roman"/>
                <w:kern w:val="2"/>
                <w:sz w:val="21"/>
                <w:szCs w:val="21"/>
                <w:lang w:val="en-US" w:eastAsia="zh-CN" w:bidi="ar-SA"/>
              </w:rPr>
              <w:t>包括</w:t>
            </w:r>
            <w:r>
              <w:rPr>
                <w:rFonts w:hint="eastAsia" w:ascii="Times New Roman" w:hAnsi="Times New Roman" w:eastAsia="方正仿宋简体" w:cs="Times New Roman"/>
                <w:kern w:val="2"/>
                <w:sz w:val="21"/>
                <w:szCs w:val="21"/>
                <w:lang w:val="en-US" w:eastAsia="zh-CN" w:bidi="ar-SA"/>
              </w:rPr>
              <w:t>项目编号、</w:t>
            </w:r>
            <w:r>
              <w:rPr>
                <w:rFonts w:hint="default" w:ascii="Times New Roman" w:hAnsi="Times New Roman" w:eastAsia="方正仿宋简体" w:cs="Times New Roman"/>
                <w:kern w:val="2"/>
                <w:sz w:val="21"/>
                <w:szCs w:val="21"/>
                <w:lang w:val="en-US" w:eastAsia="zh-CN" w:bidi="ar-SA"/>
              </w:rPr>
              <w:t>项目名称、品牌型号、</w:t>
            </w: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名称、联系人姓名及联系电话等</w:t>
            </w:r>
          </w:p>
        </w:tc>
      </w:tr>
      <w:tr w14:paraId="7CD2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CC454C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286DFA9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5923E4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4868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67CF78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6FDB1E8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投标产品报价清单</w:t>
            </w:r>
          </w:p>
        </w:tc>
        <w:tc>
          <w:tcPr>
            <w:tcW w:w="6433" w:type="dxa"/>
            <w:gridSpan w:val="4"/>
            <w:vAlign w:val="center"/>
          </w:tcPr>
          <w:p w14:paraId="67E30A0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设备有附件或核心配件的需分项报价</w:t>
            </w:r>
          </w:p>
        </w:tc>
      </w:tr>
      <w:tr w14:paraId="0269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vAlign w:val="center"/>
          </w:tcPr>
          <w:p w14:paraId="74C551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75DDC2B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配套</w:t>
            </w:r>
            <w:r>
              <w:rPr>
                <w:rFonts w:hint="default" w:ascii="Times New Roman" w:hAnsi="Times New Roman" w:eastAsia="方正仿宋简体" w:cs="Times New Roman"/>
                <w:kern w:val="2"/>
                <w:sz w:val="21"/>
                <w:szCs w:val="21"/>
                <w:highlight w:val="none"/>
                <w:lang w:val="en-US" w:eastAsia="zh-CN" w:bidi="ar-SA"/>
              </w:rPr>
              <w:t>用耗材/试剂清单</w:t>
            </w:r>
          </w:p>
        </w:tc>
        <w:tc>
          <w:tcPr>
            <w:tcW w:w="6433" w:type="dxa"/>
            <w:gridSpan w:val="4"/>
            <w:vAlign w:val="center"/>
          </w:tcPr>
          <w:p w14:paraId="1A0FB26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如设备有配套使用耗材/试剂，</w:t>
            </w:r>
            <w:r>
              <w:rPr>
                <w:rFonts w:hint="eastAsia" w:ascii="Times New Roman" w:hAnsi="Times New Roman" w:eastAsia="方正仿宋简体" w:cs="Times New Roman"/>
                <w:kern w:val="2"/>
                <w:sz w:val="21"/>
                <w:szCs w:val="21"/>
                <w:highlight w:val="none"/>
                <w:lang w:val="en-US" w:eastAsia="zh-CN" w:bidi="ar-SA"/>
              </w:rPr>
              <w:t>必须</w:t>
            </w:r>
            <w:r>
              <w:rPr>
                <w:rFonts w:hint="default" w:ascii="Times New Roman" w:hAnsi="Times New Roman" w:eastAsia="方正仿宋简体" w:cs="Times New Roman"/>
                <w:kern w:val="2"/>
                <w:sz w:val="21"/>
                <w:szCs w:val="21"/>
                <w:highlight w:val="none"/>
                <w:lang w:val="en-US" w:eastAsia="zh-CN" w:bidi="ar-SA"/>
              </w:rPr>
              <w:t>提供</w:t>
            </w:r>
            <w:r>
              <w:rPr>
                <w:rFonts w:hint="eastAsia" w:ascii="Times New Roman" w:hAnsi="Times New Roman" w:eastAsia="方正仿宋简体" w:cs="Times New Roman"/>
                <w:kern w:val="2"/>
                <w:sz w:val="21"/>
                <w:szCs w:val="21"/>
                <w:highlight w:val="none"/>
                <w:lang w:val="en-US" w:eastAsia="zh-CN" w:bidi="ar-SA"/>
              </w:rPr>
              <w:t>所有需配套</w:t>
            </w:r>
            <w:r>
              <w:rPr>
                <w:rFonts w:hint="default" w:ascii="Times New Roman" w:hAnsi="Times New Roman" w:eastAsia="方正仿宋简体" w:cs="Times New Roman"/>
                <w:kern w:val="2"/>
                <w:sz w:val="21"/>
                <w:szCs w:val="21"/>
                <w:highlight w:val="none"/>
                <w:lang w:val="en-US" w:eastAsia="zh-CN" w:bidi="ar-SA"/>
              </w:rPr>
              <w:t>用耗材/试剂清单</w:t>
            </w:r>
            <w:r>
              <w:rPr>
                <w:rFonts w:hint="eastAsia" w:ascii="Times New Roman" w:hAnsi="Times New Roman" w:eastAsia="方正仿宋简体" w:cs="Times New Roman"/>
                <w:kern w:val="2"/>
                <w:sz w:val="21"/>
                <w:szCs w:val="21"/>
                <w:highlight w:val="none"/>
                <w:lang w:val="en-US" w:eastAsia="zh-CN" w:bidi="ar-SA"/>
              </w:rPr>
              <w:t>，</w:t>
            </w:r>
            <w:r>
              <w:rPr>
                <w:rFonts w:hint="eastAsia" w:eastAsia="方正仿宋简体" w:cs="Times New Roman"/>
                <w:b w:val="0"/>
                <w:bCs w:val="0"/>
                <w:color w:val="FF0000"/>
                <w:kern w:val="2"/>
                <w:sz w:val="21"/>
                <w:szCs w:val="21"/>
                <w:highlight w:val="none"/>
                <w:lang w:val="en-US" w:eastAsia="zh-CN" w:bidi="ar-SA"/>
              </w:rPr>
              <w:t>并</w:t>
            </w:r>
            <w:r>
              <w:rPr>
                <w:rFonts w:hint="eastAsia" w:ascii="Times New Roman" w:hAnsi="Times New Roman" w:eastAsia="方正仿宋简体" w:cs="Times New Roman"/>
                <w:b w:val="0"/>
                <w:bCs w:val="0"/>
                <w:color w:val="FF0000"/>
                <w:kern w:val="2"/>
                <w:sz w:val="21"/>
                <w:szCs w:val="21"/>
                <w:highlight w:val="none"/>
                <w:lang w:val="en-US" w:eastAsia="zh-CN" w:bidi="ar-SA"/>
              </w:rPr>
              <w:t>按照《南京市江宁医院耗材/试剂院内磋商材料目录》另准备纸质文件和电子文件</w:t>
            </w:r>
            <w:r>
              <w:rPr>
                <w:rFonts w:hint="default" w:ascii="Times New Roman" w:hAnsi="Times New Roman" w:eastAsia="方正仿宋简体" w:cs="Times New Roman"/>
                <w:b/>
                <w:bCs/>
                <w:kern w:val="2"/>
                <w:sz w:val="21"/>
                <w:szCs w:val="21"/>
                <w:highlight w:val="none"/>
                <w:lang w:val="en-US" w:eastAsia="zh-CN" w:bidi="ar-SA"/>
              </w:rPr>
              <w:t>。</w:t>
            </w:r>
          </w:p>
        </w:tc>
      </w:tr>
      <w:tr w14:paraId="0524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781927F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B465A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143BC9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vAlign w:val="center"/>
          </w:tcPr>
          <w:p w14:paraId="4690A15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vAlign w:val="center"/>
          </w:tcPr>
          <w:p w14:paraId="2D6D324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vAlign w:val="center"/>
          </w:tcPr>
          <w:p w14:paraId="65FCFEE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vAlign w:val="center"/>
          </w:tcPr>
          <w:p w14:paraId="6EDE1C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084B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C9D84D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31477D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tc>
        <w:tc>
          <w:tcPr>
            <w:tcW w:w="1608" w:type="dxa"/>
            <w:vAlign w:val="center"/>
          </w:tcPr>
          <w:p w14:paraId="2DDADA2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vAlign w:val="center"/>
          </w:tcPr>
          <w:p w14:paraId="731BE7C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vAlign w:val="center"/>
          </w:tcPr>
          <w:p w14:paraId="7FB6CAA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vAlign w:val="center"/>
          </w:tcPr>
          <w:p w14:paraId="0BDC35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78D9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12DA9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3511C5C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资质</w:t>
            </w:r>
          </w:p>
        </w:tc>
        <w:tc>
          <w:tcPr>
            <w:tcW w:w="1608" w:type="dxa"/>
            <w:vAlign w:val="center"/>
          </w:tcPr>
          <w:p w14:paraId="22F5204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2475E3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9F15F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1C3E4E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3B446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21682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1FD6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E198D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194DE50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生产厂家授权书</w:t>
            </w:r>
          </w:p>
        </w:tc>
        <w:tc>
          <w:tcPr>
            <w:tcW w:w="6433" w:type="dxa"/>
            <w:gridSpan w:val="4"/>
            <w:vAlign w:val="center"/>
          </w:tcPr>
          <w:p w14:paraId="057406C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建议提供</w:t>
            </w:r>
          </w:p>
          <w:p w14:paraId="12525E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（进口必须提供）</w:t>
            </w:r>
          </w:p>
        </w:tc>
      </w:tr>
      <w:tr w14:paraId="6CFA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25679C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vAlign w:val="center"/>
          </w:tcPr>
          <w:p w14:paraId="71FE7A2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lang w:val="en-US" w:eastAsia="zh-CN" w:bidi="ar-SA"/>
              </w:rPr>
              <w:t>生产厂家资质</w:t>
            </w:r>
          </w:p>
        </w:tc>
        <w:tc>
          <w:tcPr>
            <w:tcW w:w="1608" w:type="dxa"/>
            <w:vAlign w:val="center"/>
          </w:tcPr>
          <w:p w14:paraId="31D8D30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6968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53BD29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1ABBAB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p w14:paraId="560B8ED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2F5A29D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5C71BE7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p w14:paraId="61F189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086E9A0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70EC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160B9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65E092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vAlign w:val="center"/>
          </w:tcPr>
          <w:p w14:paraId="0CC37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53D9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ECA5FF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6726DA4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b w:val="0"/>
                <w:bCs w:val="0"/>
                <w:kern w:val="2"/>
                <w:sz w:val="21"/>
                <w:szCs w:val="21"/>
                <w:highlight w:val="none"/>
                <w:lang w:val="en-US" w:eastAsia="zh-CN" w:bidi="ar-SA"/>
              </w:rPr>
              <w:t>技术参数响应及偏离表</w:t>
            </w:r>
          </w:p>
        </w:tc>
        <w:tc>
          <w:tcPr>
            <w:tcW w:w="6433" w:type="dxa"/>
            <w:gridSpan w:val="4"/>
            <w:vAlign w:val="center"/>
          </w:tcPr>
          <w:p w14:paraId="6FC4100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6143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7C8DF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60322D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设备配置清单</w:t>
            </w:r>
          </w:p>
        </w:tc>
        <w:tc>
          <w:tcPr>
            <w:tcW w:w="6433" w:type="dxa"/>
            <w:gridSpan w:val="4"/>
            <w:vAlign w:val="center"/>
          </w:tcPr>
          <w:p w14:paraId="50D3B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7010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525EF7B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vAlign w:val="center"/>
          </w:tcPr>
          <w:p w14:paraId="2B8972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设备铭牌照片</w:t>
            </w:r>
          </w:p>
        </w:tc>
        <w:tc>
          <w:tcPr>
            <w:tcW w:w="6433" w:type="dxa"/>
            <w:gridSpan w:val="4"/>
            <w:vAlign w:val="center"/>
          </w:tcPr>
          <w:p w14:paraId="7769A73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若设备铭牌未明确设备使用寿命，则需提供说明书中相关说明，非医疗器械需提供生产厂家对设备使用寿命的承诺函</w:t>
            </w:r>
          </w:p>
        </w:tc>
      </w:tr>
      <w:tr w14:paraId="13D9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shd w:val="clear" w:color="auto" w:fill="auto"/>
            <w:vAlign w:val="center"/>
          </w:tcPr>
          <w:p w14:paraId="22347E2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3A217E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设备说明书</w:t>
            </w:r>
          </w:p>
        </w:tc>
        <w:tc>
          <w:tcPr>
            <w:tcW w:w="6433" w:type="dxa"/>
            <w:gridSpan w:val="4"/>
            <w:vAlign w:val="center"/>
          </w:tcPr>
          <w:p w14:paraId="0A1EE2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页码过多的可放部分内容，但必须包括：设备配置情况、设备是否有配套耗材、设备保养/消毒等内容、设备使用期限相关内容、设备软件版本信息、说明书版本信息，电子标书须提供完整说明书</w:t>
            </w:r>
          </w:p>
        </w:tc>
      </w:tr>
      <w:tr w14:paraId="7D8A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D74C92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14</w:t>
            </w:r>
          </w:p>
        </w:tc>
        <w:tc>
          <w:tcPr>
            <w:tcW w:w="2117" w:type="dxa"/>
            <w:vAlign w:val="center"/>
          </w:tcPr>
          <w:p w14:paraId="1820A8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项目服务方案</w:t>
            </w:r>
          </w:p>
        </w:tc>
        <w:tc>
          <w:tcPr>
            <w:tcW w:w="6433" w:type="dxa"/>
            <w:gridSpan w:val="4"/>
            <w:vAlign w:val="center"/>
          </w:tcPr>
          <w:p w14:paraId="6ADCF5F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1.</w:t>
            </w:r>
            <w:r>
              <w:rPr>
                <w:rFonts w:hint="default" w:ascii="Times New Roman" w:hAnsi="Times New Roman" w:eastAsia="方正仿宋简体" w:cs="Times New Roman"/>
                <w:kern w:val="2"/>
                <w:sz w:val="21"/>
                <w:szCs w:val="21"/>
                <w:highlight w:val="none"/>
                <w:lang w:val="en-US" w:eastAsia="zh-CN" w:bidi="ar-SA"/>
              </w:rPr>
              <w:t>设备到货、安装及调试方案：</w:t>
            </w:r>
            <w:r>
              <w:rPr>
                <w:rFonts w:hint="eastAsia" w:eastAsia="方正仿宋简体" w:cs="Times New Roman"/>
                <w:kern w:val="2"/>
                <w:sz w:val="21"/>
                <w:szCs w:val="21"/>
                <w:highlight w:val="none"/>
                <w:lang w:val="en-US" w:eastAsia="zh-CN" w:bidi="ar-SA"/>
              </w:rPr>
              <w:t>包括但不限于</w:t>
            </w:r>
            <w:r>
              <w:rPr>
                <w:rFonts w:hint="default" w:ascii="Times New Roman" w:hAnsi="Times New Roman" w:eastAsia="方正仿宋简体" w:cs="Times New Roman"/>
                <w:kern w:val="2"/>
                <w:sz w:val="21"/>
                <w:szCs w:val="21"/>
                <w:highlight w:val="none"/>
                <w:lang w:val="en-US" w:eastAsia="zh-CN" w:bidi="ar-SA"/>
              </w:rPr>
              <w:t>设备到货安装方案、操作流程、配送方案及追溯措施、安装完成后与采购人对接保障其运行方案</w:t>
            </w:r>
            <w:r>
              <w:rPr>
                <w:rFonts w:hint="eastAsia" w:eastAsia="方正仿宋简体" w:cs="Times New Roman"/>
                <w:kern w:val="2"/>
                <w:sz w:val="21"/>
                <w:szCs w:val="21"/>
                <w:highlight w:val="none"/>
                <w:lang w:val="en-US" w:eastAsia="zh-CN" w:bidi="ar-SA"/>
              </w:rPr>
              <w:t>；</w:t>
            </w:r>
          </w:p>
          <w:p w14:paraId="2696741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2</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培训方案：包括但不限于：培训内容、培训方法、培训师资等</w:t>
            </w:r>
            <w:r>
              <w:rPr>
                <w:rFonts w:hint="eastAsia" w:eastAsia="方正仿宋简体" w:cs="Times New Roman"/>
                <w:kern w:val="2"/>
                <w:sz w:val="21"/>
                <w:szCs w:val="21"/>
                <w:highlight w:val="none"/>
                <w:lang w:val="en-US" w:eastAsia="zh-CN" w:bidi="ar-SA"/>
              </w:rPr>
              <w:t>；</w:t>
            </w:r>
          </w:p>
          <w:p w14:paraId="1CEE5EC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3.</w:t>
            </w:r>
            <w:r>
              <w:rPr>
                <w:rFonts w:hint="default" w:ascii="Times New Roman" w:hAnsi="Times New Roman" w:eastAsia="方正仿宋简体" w:cs="Times New Roman"/>
                <w:kern w:val="2"/>
                <w:sz w:val="21"/>
                <w:szCs w:val="21"/>
                <w:highlight w:val="none"/>
                <w:lang w:val="en-US" w:eastAsia="zh-CN" w:bidi="ar-SA"/>
              </w:rPr>
              <w:t>质量管理与控制方案：包括但不限于使用过程中发现的质量问题进行跟踪和处理，明确质控/校准周期及服务方案</w:t>
            </w:r>
            <w:r>
              <w:rPr>
                <w:rFonts w:hint="eastAsia" w:eastAsia="方正仿宋简体" w:cs="Times New Roman"/>
                <w:kern w:val="2"/>
                <w:sz w:val="21"/>
                <w:szCs w:val="21"/>
                <w:highlight w:val="none"/>
                <w:lang w:val="en-US" w:eastAsia="zh-CN" w:bidi="ar-SA"/>
              </w:rPr>
              <w:t>；</w:t>
            </w:r>
          </w:p>
          <w:p w14:paraId="2FCD7F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4.</w:t>
            </w:r>
            <w:r>
              <w:rPr>
                <w:rFonts w:hint="default" w:ascii="Times New Roman" w:hAnsi="Times New Roman" w:eastAsia="方正仿宋简体" w:cs="Times New Roman"/>
                <w:kern w:val="2"/>
                <w:sz w:val="21"/>
                <w:szCs w:val="21"/>
                <w:highlight w:val="none"/>
                <w:lang w:val="en-US" w:eastAsia="zh-CN" w:bidi="ar-SA"/>
              </w:rPr>
              <w:t>售后服务方案：包括但不限于售后服务体系、售后服务机构及人员、售后服务应答及处理时间，质保期内设备巡检、保养、质控等方案，质保期外设备易损件维修报价、整机质保服务报价等</w:t>
            </w:r>
            <w:r>
              <w:rPr>
                <w:rFonts w:hint="eastAsia" w:eastAsia="方正仿宋简体" w:cs="Times New Roman"/>
                <w:kern w:val="2"/>
                <w:sz w:val="21"/>
                <w:szCs w:val="21"/>
                <w:highlight w:val="none"/>
                <w:lang w:val="en-US" w:eastAsia="zh-CN" w:bidi="ar-SA"/>
              </w:rPr>
              <w:t>。</w:t>
            </w:r>
          </w:p>
        </w:tc>
      </w:tr>
      <w:tr w14:paraId="5E5B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863526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vAlign w:val="center"/>
          </w:tcPr>
          <w:p w14:paraId="2223F0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0158A1F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中标通知书或合同，非同型号产品或非供应商销售记录无效。</w:t>
            </w:r>
          </w:p>
        </w:tc>
      </w:tr>
      <w:tr w14:paraId="4ADE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734" w:type="dxa"/>
            <w:shd w:val="clear" w:color="auto" w:fill="auto"/>
            <w:vAlign w:val="center"/>
          </w:tcPr>
          <w:p w14:paraId="69D39D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16</w:t>
            </w:r>
          </w:p>
        </w:tc>
        <w:tc>
          <w:tcPr>
            <w:tcW w:w="2117" w:type="dxa"/>
            <w:vAlign w:val="center"/>
          </w:tcPr>
          <w:p w14:paraId="398F05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highlight w:val="none"/>
                <w:lang w:val="en-US" w:eastAsia="zh-CN" w:bidi="ar-SA"/>
              </w:rPr>
              <w:t>具备履行合同所必需的设备和专业技术能力的书面声明</w:t>
            </w:r>
          </w:p>
        </w:tc>
        <w:tc>
          <w:tcPr>
            <w:tcW w:w="6433" w:type="dxa"/>
            <w:gridSpan w:val="4"/>
            <w:vAlign w:val="center"/>
          </w:tcPr>
          <w:p w14:paraId="0C375B1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FD7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57F87A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17</w:t>
            </w:r>
          </w:p>
        </w:tc>
        <w:tc>
          <w:tcPr>
            <w:tcW w:w="2117" w:type="dxa"/>
            <w:shd w:val="clear" w:color="auto" w:fill="auto"/>
            <w:vAlign w:val="center"/>
          </w:tcPr>
          <w:p w14:paraId="5876C5C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参加本次采购活动前3年内在经营活动中没有重大违法记录的书面声明</w:t>
            </w:r>
          </w:p>
        </w:tc>
        <w:tc>
          <w:tcPr>
            <w:tcW w:w="6433" w:type="dxa"/>
            <w:gridSpan w:val="4"/>
            <w:vAlign w:val="center"/>
          </w:tcPr>
          <w:p w14:paraId="3B34158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099A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530DCF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18</w:t>
            </w:r>
          </w:p>
        </w:tc>
        <w:tc>
          <w:tcPr>
            <w:tcW w:w="2117" w:type="dxa"/>
            <w:vAlign w:val="center"/>
          </w:tcPr>
          <w:p w14:paraId="42B46AE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供应商信用中国报告</w:t>
            </w:r>
          </w:p>
        </w:tc>
        <w:tc>
          <w:tcPr>
            <w:tcW w:w="6433" w:type="dxa"/>
            <w:gridSpan w:val="4"/>
            <w:vAlign w:val="center"/>
          </w:tcPr>
          <w:p w14:paraId="1479DEA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4"/>
                <w:szCs w:val="24"/>
                <w:highlight w:val="none"/>
                <w:lang w:val="zh-CN" w:eastAsia="zh-CN" w:bidi="ar-SA"/>
              </w:rPr>
            </w:pPr>
          </w:p>
        </w:tc>
      </w:tr>
      <w:tr w14:paraId="35FD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C978A5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19</w:t>
            </w:r>
          </w:p>
        </w:tc>
        <w:tc>
          <w:tcPr>
            <w:tcW w:w="2117" w:type="dxa"/>
            <w:vAlign w:val="center"/>
          </w:tcPr>
          <w:p w14:paraId="63FC3E2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highlight w:val="none"/>
                <w:lang w:val="en-US" w:eastAsia="zh-CN" w:bidi="ar-SA"/>
              </w:rPr>
              <w:t>磋商响应函</w:t>
            </w:r>
          </w:p>
        </w:tc>
        <w:tc>
          <w:tcPr>
            <w:tcW w:w="6433" w:type="dxa"/>
            <w:gridSpan w:val="4"/>
            <w:vAlign w:val="center"/>
          </w:tcPr>
          <w:p w14:paraId="05E832E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DB7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87ABC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20</w:t>
            </w:r>
          </w:p>
        </w:tc>
        <w:tc>
          <w:tcPr>
            <w:tcW w:w="2117" w:type="dxa"/>
            <w:shd w:val="clear" w:color="auto" w:fill="auto"/>
            <w:vAlign w:val="center"/>
          </w:tcPr>
          <w:p w14:paraId="05D6DDC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承诺函</w:t>
            </w:r>
          </w:p>
        </w:tc>
        <w:tc>
          <w:tcPr>
            <w:tcW w:w="6433" w:type="dxa"/>
            <w:gridSpan w:val="4"/>
            <w:vAlign w:val="center"/>
          </w:tcPr>
          <w:p w14:paraId="488C0C9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B6A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D00670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21</w:t>
            </w:r>
          </w:p>
        </w:tc>
        <w:tc>
          <w:tcPr>
            <w:tcW w:w="2117" w:type="dxa"/>
            <w:shd w:val="clear" w:color="auto" w:fill="auto"/>
            <w:vAlign w:val="center"/>
          </w:tcPr>
          <w:p w14:paraId="71D6BE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575506D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2E8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82F035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22</w:t>
            </w:r>
          </w:p>
        </w:tc>
        <w:tc>
          <w:tcPr>
            <w:tcW w:w="2117" w:type="dxa"/>
            <w:shd w:val="clear" w:color="auto" w:fill="auto"/>
            <w:vAlign w:val="center"/>
          </w:tcPr>
          <w:p w14:paraId="45EFADD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2D39AD4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bl>
    <w:p w14:paraId="4F8D75ED">
      <w:pPr>
        <w:keepNext w:val="0"/>
        <w:keepLines w:val="0"/>
        <w:pageBreakBefore w:val="0"/>
        <w:widowControl/>
        <w:kinsoku/>
        <w:wordWrap/>
        <w:overflowPunct/>
        <w:topLinePunct w:val="0"/>
        <w:autoSpaceDE/>
        <w:autoSpaceDN/>
        <w:bidi w:val="0"/>
        <w:adjustRightInd/>
        <w:snapToGrid w:val="0"/>
        <w:ind w:firstLine="480" w:firstLineChars="200"/>
        <w:jc w:val="left"/>
        <w:textAlignment w:val="auto"/>
        <w:rPr>
          <w:rFonts w:hint="eastAsia" w:ascii="Times New Roman" w:hAnsi="Times New Roman" w:eastAsia="方正仿宋简体" w:cs="Times New Roman"/>
          <w:kern w:val="2"/>
          <w:sz w:val="24"/>
          <w:szCs w:val="24"/>
          <w:highlight w:val="none"/>
          <w:lang w:eastAsia="zh-CN"/>
        </w:rPr>
      </w:pPr>
      <w:r>
        <w:rPr>
          <w:rFonts w:hint="default" w:ascii="Times New Roman" w:hAnsi="Times New Roman" w:eastAsia="方正仿宋简体" w:cs="Times New Roman"/>
          <w:kern w:val="2"/>
          <w:sz w:val="24"/>
          <w:szCs w:val="24"/>
        </w:rPr>
        <w:t>上述材料</w:t>
      </w:r>
      <w:r>
        <w:rPr>
          <w:rFonts w:hint="default" w:ascii="Times New Roman" w:hAnsi="Times New Roman" w:eastAsia="方正仿宋简体" w:cs="Times New Roman"/>
          <w:b/>
          <w:bCs/>
          <w:kern w:val="2"/>
          <w:sz w:val="24"/>
          <w:szCs w:val="24"/>
        </w:rPr>
        <w:t>正本必须加盖公司的公章</w:t>
      </w:r>
      <w:r>
        <w:rPr>
          <w:rFonts w:hint="default" w:ascii="Times New Roman" w:hAnsi="Times New Roman" w:eastAsia="方正仿宋简体" w:cs="Times New Roman"/>
          <w:kern w:val="2"/>
          <w:sz w:val="24"/>
          <w:szCs w:val="24"/>
        </w:rPr>
        <w:t>，复印公章无效</w:t>
      </w:r>
      <w:r>
        <w:rPr>
          <w:rFonts w:hint="default" w:ascii="Times New Roman" w:hAnsi="Times New Roman" w:eastAsia="方正仿宋简体" w:cs="Times New Roman"/>
          <w:kern w:val="2"/>
          <w:sz w:val="24"/>
          <w:szCs w:val="24"/>
          <w:lang w:eastAsia="zh-CN"/>
        </w:rPr>
        <w:t>，副本可为复印件，</w:t>
      </w:r>
      <w:r>
        <w:rPr>
          <w:rFonts w:hint="eastAsia" w:ascii="Times New Roman" w:hAnsi="Times New Roman" w:eastAsia="方正仿宋简体" w:cs="Times New Roman"/>
          <w:b/>
          <w:bCs/>
          <w:color w:val="FF0000"/>
          <w:kern w:val="2"/>
          <w:sz w:val="24"/>
          <w:szCs w:val="24"/>
          <w:lang w:eastAsia="zh-CN"/>
        </w:rPr>
        <w:t>所有材料必须清晰，复印后无法辨别的资料均视为无效，</w:t>
      </w:r>
      <w:r>
        <w:rPr>
          <w:rFonts w:hint="default" w:ascii="Times New Roman" w:hAnsi="Times New Roman" w:eastAsia="方正仿宋简体" w:cs="Times New Roman"/>
          <w:b/>
          <w:bCs/>
          <w:color w:val="FF0000"/>
          <w:kern w:val="2"/>
          <w:sz w:val="24"/>
          <w:szCs w:val="24"/>
          <w:lang w:eastAsia="zh-CN"/>
        </w:rPr>
        <w:t>要求提供正本一份，副本</w:t>
      </w:r>
      <w:r>
        <w:rPr>
          <w:rFonts w:hint="eastAsia" w:eastAsia="方正仿宋简体" w:cs="Times New Roman"/>
          <w:b/>
          <w:bCs/>
          <w:color w:val="FF0000"/>
          <w:kern w:val="2"/>
          <w:sz w:val="24"/>
          <w:szCs w:val="24"/>
          <w:lang w:eastAsia="zh-CN"/>
        </w:rPr>
        <w:t>四</w:t>
      </w:r>
      <w:r>
        <w:rPr>
          <w:rFonts w:hint="default" w:ascii="Times New Roman" w:hAnsi="Times New Roman" w:eastAsia="方正仿宋简体" w:cs="Times New Roman"/>
          <w:b/>
          <w:bCs/>
          <w:color w:val="FF0000"/>
          <w:kern w:val="2"/>
          <w:sz w:val="24"/>
          <w:szCs w:val="24"/>
          <w:lang w:eastAsia="zh-CN"/>
        </w:rPr>
        <w:t>份，</w:t>
      </w:r>
      <w:r>
        <w:rPr>
          <w:rFonts w:hint="eastAsia" w:ascii="Times New Roman" w:hAnsi="Times New Roman" w:eastAsia="方正仿宋简体" w:cs="Times New Roman"/>
          <w:b/>
          <w:bCs/>
          <w:color w:val="FF0000"/>
          <w:kern w:val="2"/>
          <w:sz w:val="24"/>
          <w:szCs w:val="24"/>
          <w:lang w:eastAsia="zh-CN"/>
        </w:rPr>
        <w:t>电子标书一份</w:t>
      </w:r>
      <w:r>
        <w:rPr>
          <w:rFonts w:hint="eastAsia" w:ascii="Times New Roman" w:hAnsi="Times New Roman" w:eastAsia="方正仿宋简体" w:cs="Times New Roman"/>
          <w:kern w:val="2"/>
          <w:sz w:val="24"/>
          <w:szCs w:val="24"/>
          <w:lang w:val="en-US" w:eastAsia="zh-CN"/>
        </w:rPr>
        <w:t>，</w:t>
      </w:r>
      <w:r>
        <w:rPr>
          <w:rFonts w:hint="eastAsia" w:ascii="Times New Roman" w:hAnsi="Times New Roman" w:eastAsia="方正仿宋简体" w:cs="Times New Roman"/>
          <w:kern w:val="2"/>
          <w:sz w:val="24"/>
          <w:szCs w:val="24"/>
          <w:lang w:eastAsia="zh-CN"/>
        </w:rPr>
        <w:t>未按要求提供</w:t>
      </w:r>
      <w:r>
        <w:rPr>
          <w:rFonts w:hint="eastAsia" w:ascii="Times New Roman" w:hAnsi="Times New Roman" w:eastAsia="方正仿宋简体" w:cs="Times New Roman"/>
          <w:kern w:val="2"/>
          <w:sz w:val="24"/>
          <w:szCs w:val="24"/>
          <w:highlight w:val="none"/>
          <w:lang w:eastAsia="zh-CN"/>
        </w:rPr>
        <w:t>磋商文件的厂家即取消竞争资格</w:t>
      </w:r>
      <w:r>
        <w:rPr>
          <w:rFonts w:hint="default" w:ascii="Times New Roman" w:hAnsi="Times New Roman" w:eastAsia="方正仿宋简体" w:cs="Times New Roman"/>
          <w:kern w:val="2"/>
          <w:sz w:val="24"/>
          <w:szCs w:val="24"/>
          <w:highlight w:val="none"/>
        </w:rPr>
        <w:t>。</w:t>
      </w:r>
      <w:r>
        <w:rPr>
          <w:rFonts w:hint="eastAsia" w:ascii="Times New Roman" w:hAnsi="Times New Roman" w:eastAsia="方正仿宋简体" w:cs="Times New Roman"/>
          <w:b/>
          <w:bCs/>
          <w:color w:val="FF0000"/>
          <w:kern w:val="2"/>
          <w:sz w:val="24"/>
          <w:szCs w:val="24"/>
          <w:highlight w:val="none"/>
          <w:lang w:eastAsia="zh-CN"/>
        </w:rPr>
        <w:t>另，特别提醒，现场参与磋商人员代表必须为标书中法人授权的本公司职工，并由该人员</w:t>
      </w:r>
      <w:r>
        <w:rPr>
          <w:rFonts w:hint="eastAsia" w:eastAsia="方正仿宋简体" w:cs="Times New Roman"/>
          <w:b/>
          <w:bCs/>
          <w:color w:val="FF0000"/>
          <w:kern w:val="2"/>
          <w:sz w:val="24"/>
          <w:szCs w:val="24"/>
          <w:highlight w:val="none"/>
          <w:lang w:eastAsia="zh-CN"/>
        </w:rPr>
        <w:t>或</w:t>
      </w:r>
      <w:r>
        <w:rPr>
          <w:rFonts w:hint="eastAsia" w:ascii="Times New Roman" w:hAnsi="Times New Roman" w:eastAsia="方正仿宋简体" w:cs="Times New Roman"/>
          <w:b/>
          <w:bCs/>
          <w:color w:val="FF0000"/>
          <w:kern w:val="2"/>
          <w:sz w:val="24"/>
          <w:szCs w:val="24"/>
          <w:highlight w:val="none"/>
          <w:lang w:eastAsia="zh-CN"/>
        </w:rPr>
        <w:t>法人本人进行现场磋商活动。</w:t>
      </w:r>
    </w:p>
    <w:p w14:paraId="5FF55FC7">
      <w:pPr>
        <w:rPr>
          <w:rFonts w:hint="eastAsia" w:ascii="Times New Roman" w:hAnsi="Times New Roman" w:eastAsia="方正仿宋简体" w:cs="Times New Roman"/>
          <w:b/>
          <w:bCs/>
          <w:kern w:val="2"/>
          <w:sz w:val="21"/>
          <w:szCs w:val="21"/>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6EAF5D25">
      <w:pPr>
        <w:pStyle w:val="13"/>
        <w:rPr>
          <w:rFonts w:hint="eastAsia"/>
        </w:rPr>
      </w:pPr>
    </w:p>
    <w:p w14:paraId="0C53CB50">
      <w:pPr>
        <w:shd w:val="clear" w:color="auto" w:fill="auto"/>
        <w:spacing w:line="360" w:lineRule="auto"/>
        <w:jc w:val="center"/>
        <w:outlineLvl w:val="9"/>
        <w:rPr>
          <w:rFonts w:hint="eastAsia" w:ascii="宋体" w:hAnsi="宋体" w:cs="宋体"/>
          <w:b/>
          <w:bCs/>
          <w:color w:val="000000"/>
          <w:sz w:val="72"/>
          <w:szCs w:val="72"/>
          <w:highlight w:val="none"/>
          <w:lang w:eastAsia="zh-CN"/>
        </w:rPr>
      </w:pPr>
      <w:bookmarkStart w:id="46" w:name="_Toc5423"/>
      <w:r>
        <w:rPr>
          <w:rFonts w:hint="eastAsia" w:ascii="宋体" w:hAnsi="宋体" w:cs="宋体"/>
          <w:b/>
          <w:bCs/>
          <w:color w:val="000000"/>
          <w:sz w:val="72"/>
          <w:szCs w:val="72"/>
          <w:highlight w:val="none"/>
          <w:lang w:eastAsia="zh-CN"/>
        </w:rPr>
        <w:t>南京市江宁医院</w:t>
      </w:r>
    </w:p>
    <w:p w14:paraId="18BA8D52">
      <w:pPr>
        <w:shd w:val="clear" w:color="auto" w:fill="auto"/>
        <w:spacing w:line="360" w:lineRule="auto"/>
        <w:jc w:val="center"/>
        <w:outlineLvl w:val="9"/>
        <w:rPr>
          <w:rFonts w:hint="eastAsia" w:ascii="宋体" w:hAnsi="宋体" w:cs="宋体"/>
          <w:b/>
          <w:bCs/>
          <w:color w:val="000000"/>
          <w:sz w:val="72"/>
          <w:szCs w:val="72"/>
          <w:highlight w:val="none"/>
        </w:rPr>
      </w:pPr>
      <w:r>
        <w:rPr>
          <w:rFonts w:hint="eastAsia" w:ascii="宋体" w:hAnsi="宋体" w:cs="宋体"/>
          <w:b/>
          <w:bCs/>
          <w:color w:val="000000"/>
          <w:sz w:val="72"/>
          <w:szCs w:val="72"/>
          <w:highlight w:val="none"/>
          <w:lang w:eastAsia="zh-CN"/>
        </w:rPr>
        <w:t>设备院内</w:t>
      </w:r>
      <w:r>
        <w:rPr>
          <w:rFonts w:hint="eastAsia" w:ascii="宋体" w:hAnsi="宋体" w:cs="宋体"/>
          <w:b/>
          <w:bCs/>
          <w:color w:val="000000"/>
          <w:sz w:val="72"/>
          <w:szCs w:val="72"/>
          <w:highlight w:val="none"/>
        </w:rPr>
        <w:t>磋商响应文件</w:t>
      </w:r>
      <w:bookmarkEnd w:id="46"/>
    </w:p>
    <w:p w14:paraId="08633C78">
      <w:pPr>
        <w:shd w:val="clear" w:color="auto" w:fill="auto"/>
        <w:spacing w:line="360" w:lineRule="auto"/>
        <w:jc w:val="center"/>
        <w:outlineLvl w:val="9"/>
        <w:rPr>
          <w:rFonts w:hint="eastAsia" w:ascii="宋体" w:hAnsi="宋体" w:cs="宋体"/>
          <w:b/>
          <w:bCs/>
          <w:color w:val="000000"/>
          <w:sz w:val="60"/>
          <w:szCs w:val="60"/>
          <w:highlight w:val="none"/>
        </w:rPr>
      </w:pPr>
    </w:p>
    <w:p w14:paraId="68EC67C1">
      <w:pPr>
        <w:shd w:val="clear" w:color="auto" w:fill="auto"/>
        <w:spacing w:line="360" w:lineRule="auto"/>
        <w:jc w:val="center"/>
        <w:outlineLvl w:val="9"/>
        <w:rPr>
          <w:rFonts w:hint="eastAsia" w:ascii="宋体" w:hAnsi="宋体" w:cs="宋体"/>
          <w:b/>
          <w:bCs/>
          <w:color w:val="000000"/>
          <w:sz w:val="72"/>
          <w:szCs w:val="72"/>
          <w:highlight w:val="none"/>
        </w:rPr>
      </w:pPr>
    </w:p>
    <w:p w14:paraId="5B9BEBDF">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0C477D2B">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bookmarkStart w:id="47" w:name="_Toc22530"/>
      <w:r>
        <w:rPr>
          <w:rFonts w:hint="eastAsia" w:ascii="宋体" w:hAnsi="宋体" w:cs="宋体"/>
          <w:b/>
          <w:color w:val="000000"/>
          <w:sz w:val="36"/>
          <w:szCs w:val="36"/>
          <w:highlight w:val="none"/>
          <w:lang w:val="en-US" w:eastAsia="zh-CN" w:bidi="ar-SA"/>
        </w:rPr>
        <w:t>设</w:t>
      </w:r>
      <w:r>
        <w:rPr>
          <w:rFonts w:hint="eastAsia" w:ascii="宋体" w:hAnsi="宋体" w:eastAsia="宋体" w:cs="宋体"/>
          <w:b/>
          <w:color w:val="000000"/>
          <w:sz w:val="36"/>
          <w:szCs w:val="36"/>
          <w:highlight w:val="none"/>
          <w:lang w:val="en-US" w:eastAsia="zh-CN" w:bidi="ar-SA"/>
        </w:rPr>
        <w:t xml:space="preserve"> </w:t>
      </w:r>
      <w:r>
        <w:rPr>
          <w:rFonts w:hint="eastAsia" w:ascii="宋体" w:hAnsi="宋体" w:cs="宋体"/>
          <w:b/>
          <w:color w:val="000000"/>
          <w:sz w:val="36"/>
          <w:szCs w:val="36"/>
          <w:highlight w:val="none"/>
          <w:lang w:val="en-US" w:eastAsia="zh-CN" w:bidi="ar-SA"/>
        </w:rPr>
        <w:t>备</w:t>
      </w:r>
      <w:r>
        <w:rPr>
          <w:rFonts w:hint="eastAsia" w:ascii="宋体" w:hAnsi="宋体" w:eastAsia="宋体" w:cs="宋体"/>
          <w:b/>
          <w:color w:val="000000"/>
          <w:sz w:val="36"/>
          <w:szCs w:val="36"/>
          <w:highlight w:val="none"/>
          <w:lang w:val="en-US" w:eastAsia="zh-CN" w:bidi="ar-SA"/>
        </w:rPr>
        <w:t xml:space="preserve"> 名 称：</w:t>
      </w:r>
      <w:r>
        <w:rPr>
          <w:rFonts w:hint="eastAsia" w:ascii="宋体" w:hAnsi="宋体" w:eastAsia="宋体" w:cs="宋体"/>
          <w:b/>
          <w:color w:val="000000"/>
          <w:sz w:val="36"/>
          <w:szCs w:val="36"/>
          <w:highlight w:val="none"/>
          <w:u w:val="single"/>
          <w:lang w:val="en-US" w:eastAsia="zh-CN" w:bidi="ar-SA"/>
        </w:rPr>
        <w:t>   </w:t>
      </w:r>
      <w:bookmarkStart w:id="55" w:name="_GoBack"/>
      <w:bookmarkEnd w:id="55"/>
      <w:r>
        <w:rPr>
          <w:rFonts w:hint="eastAsia" w:ascii="宋体" w:hAnsi="宋体" w:eastAsia="宋体" w:cs="宋体"/>
          <w:b/>
          <w:color w:val="000000"/>
          <w:sz w:val="36"/>
          <w:szCs w:val="36"/>
          <w:highlight w:val="none"/>
          <w:u w:val="single"/>
          <w:lang w:val="en-US" w:eastAsia="zh-CN" w:bidi="ar-SA"/>
        </w:rPr>
        <w:t>           </w:t>
      </w:r>
      <w:bookmarkEnd w:id="47"/>
      <w:r>
        <w:rPr>
          <w:rFonts w:hint="eastAsia" w:ascii="宋体" w:hAnsi="宋体" w:eastAsia="宋体" w:cs="宋体"/>
          <w:b/>
          <w:color w:val="000000"/>
          <w:sz w:val="36"/>
          <w:szCs w:val="36"/>
          <w:highlight w:val="none"/>
          <w:u w:val="single"/>
          <w:lang w:val="en-US" w:eastAsia="zh-CN" w:bidi="ar-SA"/>
        </w:rPr>
        <w:t xml:space="preserve"> </w:t>
      </w:r>
    </w:p>
    <w:p w14:paraId="73419184">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品 牌 型 号：</w:t>
      </w:r>
      <w:r>
        <w:rPr>
          <w:rFonts w:hint="eastAsia" w:ascii="宋体" w:hAnsi="宋体" w:eastAsia="宋体" w:cs="宋体"/>
          <w:b/>
          <w:color w:val="000000"/>
          <w:sz w:val="36"/>
          <w:szCs w:val="36"/>
          <w:highlight w:val="none"/>
          <w:u w:val="single"/>
          <w:lang w:val="en-US" w:eastAsia="zh-CN" w:bidi="ar-SA"/>
        </w:rPr>
        <w:t xml:space="preserve">               </w:t>
      </w:r>
    </w:p>
    <w:p w14:paraId="26324B91">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573B9063">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63E04E1C">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865A2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5806D8CC">
      <w:pPr>
        <w:shd w:val="clear" w:color="auto" w:fill="auto"/>
        <w:spacing w:line="360" w:lineRule="auto"/>
        <w:jc w:val="center"/>
        <w:outlineLvl w:val="9"/>
        <w:rPr>
          <w:rFonts w:ascii="宋体" w:hAnsi="宋体" w:cs="宋体"/>
          <w:b/>
          <w:color w:val="000000"/>
          <w:sz w:val="72"/>
          <w:szCs w:val="21"/>
          <w:highlight w:val="none"/>
        </w:rPr>
      </w:pPr>
    </w:p>
    <w:p w14:paraId="1942C703">
      <w:pPr>
        <w:shd w:val="clear" w:color="auto" w:fill="auto"/>
        <w:spacing w:line="360" w:lineRule="auto"/>
        <w:jc w:val="center"/>
        <w:outlineLvl w:val="9"/>
        <w:rPr>
          <w:rFonts w:ascii="宋体" w:hAnsi="宋体" w:cs="宋体"/>
          <w:b/>
          <w:color w:val="000000"/>
          <w:sz w:val="36"/>
          <w:szCs w:val="21"/>
          <w:highlight w:val="none"/>
        </w:rPr>
      </w:pPr>
    </w:p>
    <w:p w14:paraId="6FC83838">
      <w:pPr>
        <w:shd w:val="clear" w:color="auto" w:fill="auto"/>
        <w:spacing w:line="360" w:lineRule="auto"/>
        <w:jc w:val="center"/>
        <w:outlineLvl w:val="9"/>
        <w:rPr>
          <w:rFonts w:ascii="宋体" w:hAnsi="宋体" w:cs="宋体"/>
          <w:b/>
          <w:color w:val="000000"/>
          <w:sz w:val="36"/>
          <w:szCs w:val="21"/>
          <w:highlight w:val="none"/>
        </w:rPr>
      </w:pPr>
    </w:p>
    <w:p w14:paraId="6A032AEB">
      <w:pPr>
        <w:shd w:val="clear" w:color="auto" w:fill="auto"/>
        <w:spacing w:line="360" w:lineRule="auto"/>
        <w:jc w:val="center"/>
        <w:outlineLvl w:val="9"/>
        <w:rPr>
          <w:rFonts w:ascii="宋体" w:hAnsi="宋体" w:cs="宋体"/>
          <w:b/>
          <w:color w:val="000000"/>
          <w:sz w:val="36"/>
          <w:szCs w:val="21"/>
          <w:highlight w:val="none"/>
        </w:rPr>
        <w:sectPr>
          <w:pgSz w:w="11906" w:h="16838"/>
          <w:pgMar w:top="1270" w:right="1800" w:bottom="1270" w:left="1800" w:header="851" w:footer="992" w:gutter="0"/>
          <w:pgNumType w:fmt="decimal"/>
          <w:cols w:space="1701" w:num="1"/>
          <w:docGrid w:linePitch="360" w:charSpace="0"/>
        </w:sectPr>
      </w:pPr>
    </w:p>
    <w:p w14:paraId="5669D657">
      <w:pPr>
        <w:shd w:val="clear" w:color="auto" w:fill="auto"/>
        <w:spacing w:line="360" w:lineRule="auto"/>
        <w:jc w:val="center"/>
        <w:outlineLvl w:val="9"/>
        <w:rPr>
          <w:rFonts w:hint="eastAsia" w:ascii="宋体" w:hAnsi="宋体" w:eastAsia="宋体" w:cs="宋体"/>
          <w:b/>
          <w:color w:val="000000"/>
          <w:sz w:val="36"/>
          <w:szCs w:val="21"/>
          <w:highlight w:val="none"/>
          <w:lang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color w:val="000000"/>
          <w:sz w:val="36"/>
          <w:szCs w:val="21"/>
          <w:highlight w:val="none"/>
          <w:lang w:eastAsia="zh-CN"/>
        </w:rPr>
        <w:t>目录</w:t>
      </w:r>
    </w:p>
    <w:p w14:paraId="4BB4AF8B">
      <w:pPr>
        <w:pStyle w:val="13"/>
        <w:outlineLvl w:val="9"/>
      </w:pPr>
    </w:p>
    <w:p w14:paraId="3162D2F0">
      <w:pPr>
        <w:numPr>
          <w:ilvl w:val="0"/>
          <w:numId w:val="0"/>
        </w:numPr>
        <w:jc w:val="left"/>
        <w:outlineLvl w:val="9"/>
        <w:rPr>
          <w:rFonts w:hint="eastAsia" w:ascii="宋体" w:hAnsi="宋体" w:cs="宋体"/>
          <w:b/>
          <w:color w:val="000000"/>
          <w:sz w:val="32"/>
          <w:szCs w:val="32"/>
          <w:highlight w:val="none"/>
          <w:lang w:eastAsia="zh-CN"/>
        </w:rPr>
      </w:pPr>
      <w:r>
        <w:rPr>
          <w:rFonts w:hint="eastAsia" w:ascii="宋体" w:hAnsi="宋体" w:eastAsia="宋体" w:cs="宋体"/>
          <w:b/>
          <w:color w:val="000000"/>
          <w:sz w:val="32"/>
          <w:szCs w:val="32"/>
          <w:lang w:val="en-US" w:eastAsia="zh-CN" w:bidi="ar-SA"/>
        </w:rPr>
        <w:t>一、</w:t>
      </w:r>
      <w:r>
        <w:rPr>
          <w:rFonts w:hint="eastAsia" w:ascii="宋体" w:hAnsi="宋体" w:cs="宋体"/>
          <w:b/>
          <w:color w:val="000000"/>
          <w:sz w:val="32"/>
          <w:szCs w:val="32"/>
          <w:highlight w:val="none"/>
          <w:lang w:eastAsia="zh-CN"/>
        </w:rPr>
        <w:t>投标产品报价清单</w:t>
      </w:r>
    </w:p>
    <w:p w14:paraId="45F343B4">
      <w:pPr>
        <w:numPr>
          <w:ilvl w:val="0"/>
          <w:numId w:val="0"/>
        </w:numPr>
        <w:jc w:val="center"/>
        <w:outlineLvl w:val="9"/>
        <w:rPr>
          <w:rFonts w:hint="eastAsia" w:ascii="Times New Roman" w:hAnsi="Times New Roman" w:eastAsia="黑体"/>
          <w:b/>
          <w:bCs/>
          <w:kern w:val="2"/>
          <w:sz w:val="28"/>
          <w:szCs w:val="28"/>
          <w:lang w:val="en-US" w:eastAsia="zh-CN"/>
        </w:rPr>
      </w:pPr>
      <w:r>
        <w:rPr>
          <w:rFonts w:hint="eastAsia" w:ascii="Times New Roman" w:hAnsi="Times New Roman" w:eastAsia="黑体"/>
          <w:b/>
          <w:bCs/>
          <w:kern w:val="2"/>
          <w:sz w:val="28"/>
          <w:szCs w:val="28"/>
          <w:lang w:val="en-US" w:eastAsia="zh-CN"/>
        </w:rPr>
        <w:t>医疗设备报价单</w:t>
      </w:r>
    </w:p>
    <w:tbl>
      <w:tblPr>
        <w:tblStyle w:val="35"/>
        <w:tblW w:w="14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862"/>
        <w:gridCol w:w="1200"/>
        <w:gridCol w:w="1332"/>
        <w:gridCol w:w="1687"/>
        <w:gridCol w:w="1163"/>
        <w:gridCol w:w="1687"/>
        <w:gridCol w:w="2213"/>
        <w:gridCol w:w="2784"/>
      </w:tblGrid>
      <w:tr w14:paraId="6570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82" w:type="dxa"/>
            <w:vAlign w:val="center"/>
          </w:tcPr>
          <w:p w14:paraId="4A25E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序号</w:t>
            </w:r>
          </w:p>
        </w:tc>
        <w:tc>
          <w:tcPr>
            <w:tcW w:w="1862" w:type="dxa"/>
            <w:vAlign w:val="center"/>
          </w:tcPr>
          <w:p w14:paraId="4502A98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设备名称</w:t>
            </w:r>
          </w:p>
        </w:tc>
        <w:tc>
          <w:tcPr>
            <w:tcW w:w="1200" w:type="dxa"/>
            <w:vAlign w:val="center"/>
          </w:tcPr>
          <w:p w14:paraId="14A8835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品牌</w:t>
            </w:r>
          </w:p>
        </w:tc>
        <w:tc>
          <w:tcPr>
            <w:tcW w:w="1332" w:type="dxa"/>
            <w:vAlign w:val="center"/>
          </w:tcPr>
          <w:p w14:paraId="203D501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规格型号</w:t>
            </w:r>
          </w:p>
        </w:tc>
        <w:tc>
          <w:tcPr>
            <w:tcW w:w="1687" w:type="dxa"/>
            <w:vAlign w:val="center"/>
          </w:tcPr>
          <w:p w14:paraId="7AFE6A8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kern w:val="2"/>
                <w:sz w:val="24"/>
                <w:szCs w:val="24"/>
              </w:rPr>
              <w:t>注册证号</w:t>
            </w:r>
          </w:p>
        </w:tc>
        <w:tc>
          <w:tcPr>
            <w:tcW w:w="1163" w:type="dxa"/>
            <w:vAlign w:val="center"/>
          </w:tcPr>
          <w:p w14:paraId="579947A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产地</w:t>
            </w:r>
          </w:p>
        </w:tc>
        <w:tc>
          <w:tcPr>
            <w:tcW w:w="1687" w:type="dxa"/>
            <w:vAlign w:val="center"/>
          </w:tcPr>
          <w:p w14:paraId="6EE699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单价（元）</w:t>
            </w:r>
          </w:p>
        </w:tc>
        <w:tc>
          <w:tcPr>
            <w:tcW w:w="2213" w:type="dxa"/>
            <w:vAlign w:val="center"/>
          </w:tcPr>
          <w:p w14:paraId="13B7602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使用期限（与铭牌一直）</w:t>
            </w:r>
          </w:p>
        </w:tc>
        <w:tc>
          <w:tcPr>
            <w:tcW w:w="2784" w:type="dxa"/>
            <w:vAlign w:val="center"/>
          </w:tcPr>
          <w:p w14:paraId="7990B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免费质保期（年）</w:t>
            </w:r>
          </w:p>
        </w:tc>
      </w:tr>
      <w:tr w14:paraId="6A69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2BF30A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vertAlign w:val="baseline"/>
                <w:lang w:val="en-US" w:eastAsia="zh-CN"/>
              </w:rPr>
            </w:pPr>
            <w:r>
              <w:rPr>
                <w:rFonts w:hint="default" w:ascii="Times New Roman" w:hAnsi="Times New Roman" w:cs="Times New Roman"/>
                <w:b w:val="0"/>
                <w:bCs/>
                <w:kern w:val="2"/>
                <w:sz w:val="24"/>
                <w:szCs w:val="24"/>
                <w:vertAlign w:val="baseline"/>
                <w:lang w:val="en-US" w:eastAsia="zh-CN"/>
              </w:rPr>
              <w:t>1</w:t>
            </w:r>
          </w:p>
        </w:tc>
        <w:tc>
          <w:tcPr>
            <w:tcW w:w="1862" w:type="dxa"/>
            <w:vAlign w:val="center"/>
          </w:tcPr>
          <w:p w14:paraId="01C2212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200" w:type="dxa"/>
            <w:vAlign w:val="center"/>
          </w:tcPr>
          <w:p w14:paraId="29D80E7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332" w:type="dxa"/>
            <w:vAlign w:val="center"/>
          </w:tcPr>
          <w:p w14:paraId="5180096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87" w:type="dxa"/>
            <w:vAlign w:val="center"/>
          </w:tcPr>
          <w:p w14:paraId="307B34E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3" w:type="dxa"/>
            <w:vAlign w:val="center"/>
          </w:tcPr>
          <w:p w14:paraId="457E9E9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87" w:type="dxa"/>
            <w:vAlign w:val="center"/>
          </w:tcPr>
          <w:p w14:paraId="33C71E3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213" w:type="dxa"/>
            <w:vAlign w:val="center"/>
          </w:tcPr>
          <w:p w14:paraId="7BD391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784" w:type="dxa"/>
            <w:vAlign w:val="center"/>
          </w:tcPr>
          <w:p w14:paraId="690CEE8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bl>
    <w:p w14:paraId="0D3309F6">
      <w:pPr>
        <w:jc w:val="center"/>
        <w:outlineLvl w:val="9"/>
        <w:rPr>
          <w:rFonts w:hint="eastAsia" w:ascii="Times New Roman" w:hAnsi="Times New Roman" w:eastAsia="黑体"/>
          <w:b/>
          <w:bCs/>
          <w:kern w:val="2"/>
          <w:sz w:val="28"/>
          <w:szCs w:val="28"/>
          <w:lang w:val="en-US" w:eastAsia="zh-CN"/>
        </w:rPr>
      </w:pPr>
    </w:p>
    <w:p w14:paraId="4AD3FC93">
      <w:pPr>
        <w:jc w:val="center"/>
        <w:outlineLvl w:val="9"/>
        <w:rPr>
          <w:rFonts w:hint="default" w:ascii="Times New Roman" w:hAnsi="Times New Roman" w:eastAsia="黑体"/>
          <w:b/>
          <w:bCs/>
          <w:kern w:val="2"/>
          <w:sz w:val="28"/>
          <w:szCs w:val="28"/>
          <w:lang w:val="en-US" w:eastAsia="zh-CN"/>
        </w:rPr>
      </w:pPr>
      <w:r>
        <w:rPr>
          <w:rFonts w:hint="eastAsia" w:ascii="Times New Roman" w:hAnsi="Times New Roman" w:eastAsia="黑体"/>
          <w:b/>
          <w:bCs/>
          <w:kern w:val="2"/>
          <w:sz w:val="28"/>
          <w:szCs w:val="28"/>
          <w:lang w:val="en-US" w:eastAsia="zh-CN"/>
        </w:rPr>
        <w:t>医疗设备核心</w:t>
      </w:r>
      <w:r>
        <w:rPr>
          <w:rFonts w:hint="eastAsia" w:eastAsia="黑体"/>
          <w:b/>
          <w:bCs/>
          <w:kern w:val="2"/>
          <w:sz w:val="28"/>
          <w:szCs w:val="28"/>
          <w:lang w:val="en-US" w:eastAsia="zh-CN"/>
        </w:rPr>
        <w:t>部</w:t>
      </w:r>
      <w:r>
        <w:rPr>
          <w:rFonts w:hint="eastAsia" w:ascii="Times New Roman" w:hAnsi="Times New Roman" w:eastAsia="黑体"/>
          <w:b/>
          <w:bCs/>
          <w:kern w:val="2"/>
          <w:sz w:val="28"/>
          <w:szCs w:val="28"/>
          <w:lang w:val="en-US" w:eastAsia="zh-CN"/>
        </w:rPr>
        <w:t>件</w:t>
      </w:r>
      <w:r>
        <w:rPr>
          <w:rFonts w:hint="eastAsia" w:eastAsia="黑体"/>
          <w:b/>
          <w:bCs/>
          <w:kern w:val="2"/>
          <w:sz w:val="28"/>
          <w:szCs w:val="28"/>
          <w:lang w:val="en-US" w:eastAsia="zh-CN"/>
        </w:rPr>
        <w:t>分项报价</w:t>
      </w:r>
      <w:r>
        <w:rPr>
          <w:rFonts w:hint="eastAsia" w:ascii="Times New Roman" w:hAnsi="Times New Roman" w:eastAsia="黑体"/>
          <w:b/>
          <w:bCs/>
          <w:kern w:val="2"/>
          <w:sz w:val="28"/>
          <w:szCs w:val="28"/>
          <w:lang w:val="en-US" w:eastAsia="zh-CN"/>
        </w:rPr>
        <w:t>单</w:t>
      </w:r>
    </w:p>
    <w:tbl>
      <w:tblPr>
        <w:tblStyle w:val="35"/>
        <w:tblW w:w="147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2700"/>
        <w:gridCol w:w="1600"/>
        <w:gridCol w:w="1167"/>
        <w:gridCol w:w="2917"/>
        <w:gridCol w:w="5572"/>
      </w:tblGrid>
      <w:tr w14:paraId="1783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82" w:type="dxa"/>
            <w:vAlign w:val="center"/>
          </w:tcPr>
          <w:p w14:paraId="29873A1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序号</w:t>
            </w:r>
          </w:p>
        </w:tc>
        <w:tc>
          <w:tcPr>
            <w:tcW w:w="2700" w:type="dxa"/>
            <w:vAlign w:val="center"/>
          </w:tcPr>
          <w:p w14:paraId="1FD146D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配件名称</w:t>
            </w:r>
          </w:p>
        </w:tc>
        <w:tc>
          <w:tcPr>
            <w:tcW w:w="1600" w:type="dxa"/>
            <w:vAlign w:val="center"/>
          </w:tcPr>
          <w:p w14:paraId="702E048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规格型号</w:t>
            </w:r>
          </w:p>
        </w:tc>
        <w:tc>
          <w:tcPr>
            <w:tcW w:w="1167" w:type="dxa"/>
            <w:vAlign w:val="center"/>
          </w:tcPr>
          <w:p w14:paraId="43204B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单位</w:t>
            </w:r>
          </w:p>
        </w:tc>
        <w:tc>
          <w:tcPr>
            <w:tcW w:w="2917" w:type="dxa"/>
            <w:vAlign w:val="center"/>
          </w:tcPr>
          <w:p w14:paraId="514B43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单价（元）</w:t>
            </w:r>
          </w:p>
        </w:tc>
        <w:tc>
          <w:tcPr>
            <w:tcW w:w="5572" w:type="dxa"/>
            <w:vAlign w:val="center"/>
          </w:tcPr>
          <w:p w14:paraId="28832ED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说明书要求的更换周期（没有填无）</w:t>
            </w:r>
          </w:p>
        </w:tc>
      </w:tr>
      <w:tr w14:paraId="4CA3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1EA5B2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vertAlign w:val="baseline"/>
                <w:lang w:val="en-US" w:eastAsia="zh-CN"/>
              </w:rPr>
            </w:pPr>
            <w:r>
              <w:rPr>
                <w:rFonts w:hint="default" w:ascii="Times New Roman" w:hAnsi="Times New Roman" w:cs="Times New Roman"/>
                <w:b w:val="0"/>
                <w:bCs/>
                <w:kern w:val="2"/>
                <w:sz w:val="24"/>
                <w:szCs w:val="24"/>
                <w:vertAlign w:val="baseline"/>
                <w:lang w:val="en-US" w:eastAsia="zh-CN"/>
              </w:rPr>
              <w:t>1</w:t>
            </w:r>
          </w:p>
        </w:tc>
        <w:tc>
          <w:tcPr>
            <w:tcW w:w="2700" w:type="dxa"/>
            <w:vAlign w:val="center"/>
          </w:tcPr>
          <w:p w14:paraId="169F73C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00" w:type="dxa"/>
            <w:vAlign w:val="center"/>
          </w:tcPr>
          <w:p w14:paraId="35726AF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7" w:type="dxa"/>
            <w:vAlign w:val="center"/>
          </w:tcPr>
          <w:p w14:paraId="1046044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917" w:type="dxa"/>
            <w:vAlign w:val="center"/>
          </w:tcPr>
          <w:p w14:paraId="05FF86A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5572" w:type="dxa"/>
            <w:vAlign w:val="center"/>
          </w:tcPr>
          <w:p w14:paraId="08963E7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r w14:paraId="329E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448B7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lang w:val="en-US" w:eastAsia="zh-CN"/>
              </w:rPr>
            </w:pPr>
            <w:r>
              <w:rPr>
                <w:rFonts w:hint="eastAsia" w:ascii="Times New Roman" w:hAnsi="Times New Roman" w:cs="Times New Roman"/>
                <w:b w:val="0"/>
                <w:bCs/>
                <w:kern w:val="2"/>
                <w:sz w:val="24"/>
                <w:szCs w:val="24"/>
                <w:vertAlign w:val="baseline"/>
                <w:lang w:val="en-US" w:eastAsia="zh-CN"/>
              </w:rPr>
              <w:t>2</w:t>
            </w:r>
          </w:p>
        </w:tc>
        <w:tc>
          <w:tcPr>
            <w:tcW w:w="2700" w:type="dxa"/>
            <w:vAlign w:val="center"/>
          </w:tcPr>
          <w:p w14:paraId="1B1AF0B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00" w:type="dxa"/>
            <w:vAlign w:val="center"/>
          </w:tcPr>
          <w:p w14:paraId="296A37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7" w:type="dxa"/>
            <w:vAlign w:val="center"/>
          </w:tcPr>
          <w:p w14:paraId="5C54C56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917" w:type="dxa"/>
            <w:vAlign w:val="center"/>
          </w:tcPr>
          <w:p w14:paraId="5ED4EA6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5572" w:type="dxa"/>
            <w:vAlign w:val="center"/>
          </w:tcPr>
          <w:p w14:paraId="2F35A27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r w14:paraId="0BF0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5E507B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Times New Roman" w:hAnsi="Times New Roman" w:cs="Times New Roman"/>
                <w:b w:val="0"/>
                <w:bCs/>
                <w:kern w:val="2"/>
                <w:sz w:val="24"/>
                <w:szCs w:val="24"/>
                <w:vertAlign w:val="baseline"/>
                <w:lang w:val="en-US" w:eastAsia="zh-CN"/>
              </w:rPr>
            </w:pPr>
            <w:r>
              <w:rPr>
                <w:rFonts w:hint="eastAsia" w:ascii="Times New Roman" w:hAnsi="Times New Roman" w:cs="Times New Roman"/>
                <w:b w:val="0"/>
                <w:bCs/>
                <w:kern w:val="2"/>
                <w:sz w:val="24"/>
                <w:szCs w:val="24"/>
                <w:vertAlign w:val="baseline"/>
                <w:lang w:val="en-US" w:eastAsia="zh-CN"/>
              </w:rPr>
              <w:t>备注</w:t>
            </w:r>
          </w:p>
        </w:tc>
        <w:tc>
          <w:tcPr>
            <w:tcW w:w="13956" w:type="dxa"/>
            <w:gridSpan w:val="5"/>
            <w:vAlign w:val="center"/>
          </w:tcPr>
          <w:p w14:paraId="4A3FB15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outlineLvl w:val="9"/>
              <w:rPr>
                <w:rFonts w:hint="eastAsia" w:ascii="Times New Roman" w:hAnsi="Times New Roman" w:eastAsia="宋体" w:cs="Times New Roman"/>
                <w:b w:val="0"/>
                <w:bCs/>
                <w:kern w:val="2"/>
                <w:sz w:val="24"/>
                <w:szCs w:val="24"/>
                <w:vertAlign w:val="baseline"/>
                <w:lang w:eastAsia="zh-CN"/>
              </w:rPr>
            </w:pPr>
            <w:r>
              <w:rPr>
                <w:rFonts w:hint="eastAsia" w:ascii="Times New Roman" w:hAnsi="Times New Roman" w:cs="Times New Roman"/>
                <w:b w:val="0"/>
                <w:bCs/>
                <w:kern w:val="2"/>
                <w:sz w:val="24"/>
                <w:szCs w:val="24"/>
                <w:vertAlign w:val="baseline"/>
                <w:lang w:eastAsia="zh-CN"/>
              </w:rPr>
              <w:t>免费质保期原则上应包含所有核心配件及易损件，若有特殊情况请说明，若无视为默认包含在免费质保其中。</w:t>
            </w:r>
          </w:p>
        </w:tc>
      </w:tr>
    </w:tbl>
    <w:p w14:paraId="65998A7E">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Times New Roman" w:hAnsi="Times New Roman" w:eastAsia="黑体"/>
          <w:b/>
          <w:bCs/>
          <w:kern w:val="2"/>
          <w:sz w:val="28"/>
          <w:szCs w:val="28"/>
          <w:lang w:val="en-US" w:eastAsia="zh-CN"/>
        </w:rPr>
      </w:pPr>
    </w:p>
    <w:p w14:paraId="42556CB1">
      <w:pPr>
        <w:pStyle w:val="13"/>
        <w:outlineLvl w:val="9"/>
        <w:rPr>
          <w:rFonts w:hint="eastAsia" w:ascii="Times New Roman" w:hAnsi="Times New Roman" w:eastAsia="黑体"/>
          <w:b/>
          <w:bCs/>
          <w:kern w:val="2"/>
          <w:sz w:val="28"/>
          <w:szCs w:val="28"/>
          <w:lang w:val="en-US" w:eastAsia="zh-CN"/>
        </w:rPr>
      </w:pPr>
    </w:p>
    <w:p w14:paraId="154EBF13">
      <w:pPr>
        <w:outlineLvl w:val="9"/>
        <w:rPr>
          <w:rFonts w:hint="eastAsia" w:ascii="Times New Roman" w:hAnsi="Times New Roman" w:eastAsia="黑体"/>
          <w:b/>
          <w:bCs/>
          <w:kern w:val="2"/>
          <w:sz w:val="28"/>
          <w:szCs w:val="28"/>
          <w:lang w:val="en-US" w:eastAsia="zh-CN"/>
        </w:rPr>
      </w:pPr>
    </w:p>
    <w:p w14:paraId="19FDA6C3">
      <w:pPr>
        <w:pStyle w:val="13"/>
        <w:outlineLvl w:val="9"/>
        <w:rPr>
          <w:rFonts w:hint="eastAsia" w:ascii="Times New Roman" w:hAnsi="Times New Roman" w:eastAsia="黑体"/>
          <w:b/>
          <w:bCs/>
          <w:kern w:val="2"/>
          <w:sz w:val="28"/>
          <w:szCs w:val="28"/>
          <w:lang w:val="en-US" w:eastAsia="zh-CN"/>
        </w:rPr>
      </w:pPr>
    </w:p>
    <w:p w14:paraId="67EE562B">
      <w:pPr>
        <w:outlineLvl w:val="9"/>
        <w:rPr>
          <w:rFonts w:hint="eastAsia"/>
          <w:lang w:val="en-US" w:eastAsia="zh-CN"/>
        </w:rPr>
      </w:pPr>
    </w:p>
    <w:p w14:paraId="2F3AB368">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046B234A">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default"/>
          <w:u w:val="single"/>
          <w:lang w:val="en-US" w:eastAsia="zh-CN"/>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29750B54">
      <w:pPr>
        <w:shd w:val="clear" w:color="auto" w:fill="auto"/>
        <w:spacing w:before="156" w:after="156" w:line="360" w:lineRule="auto"/>
        <w:jc w:val="center"/>
        <w:outlineLvl w:val="9"/>
        <w:rPr>
          <w:rFonts w:hint="eastAsia" w:ascii="宋体" w:hAnsi="宋体" w:eastAsia="宋体" w:cs="宋体"/>
          <w:b/>
          <w:bCs/>
          <w:color w:val="000000"/>
          <w:highlight w:val="none"/>
          <w:lang w:eastAsia="zh-CN"/>
        </w:rPr>
        <w:sectPr>
          <w:pgSz w:w="16838" w:h="11906" w:orient="landscape"/>
          <w:pgMar w:top="1800" w:right="1270" w:bottom="1800" w:left="1270" w:header="851" w:footer="992" w:gutter="0"/>
          <w:pgNumType w:fmt="decimal"/>
          <w:cols w:space="1701" w:num="1"/>
          <w:docGrid w:linePitch="360" w:charSpace="0"/>
        </w:sectPr>
      </w:pPr>
    </w:p>
    <w:p w14:paraId="05384285">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产品资质</w:t>
      </w:r>
    </w:p>
    <w:p w14:paraId="26218C88">
      <w:pPr>
        <w:widowControl w:val="0"/>
        <w:numPr>
          <w:ilvl w:val="0"/>
          <w:numId w:val="0"/>
        </w:numPr>
        <w:jc w:val="both"/>
        <w:outlineLvl w:val="9"/>
        <w:rPr>
          <w:rFonts w:hint="eastAsia"/>
          <w:lang w:val="en-US" w:eastAsia="zh-CN"/>
        </w:rPr>
      </w:pPr>
    </w:p>
    <w:p w14:paraId="1C63D24F">
      <w:pPr>
        <w:widowControl w:val="0"/>
        <w:numPr>
          <w:ilvl w:val="0"/>
          <w:numId w:val="0"/>
        </w:numPr>
        <w:jc w:val="both"/>
        <w:outlineLvl w:val="9"/>
        <w:rPr>
          <w:rFonts w:hint="eastAsia"/>
          <w:lang w:val="en-US" w:eastAsia="zh-CN"/>
        </w:rPr>
        <w:sectPr>
          <w:pgSz w:w="11906" w:h="16838"/>
          <w:pgMar w:top="1270" w:right="1800" w:bottom="1270" w:left="1800" w:header="851" w:footer="992" w:gutter="0"/>
          <w:pgNumType w:fmt="decimal"/>
          <w:cols w:space="1701" w:num="1"/>
          <w:docGrid w:linePitch="360" w:charSpace="0"/>
        </w:sectPr>
      </w:pPr>
    </w:p>
    <w:p w14:paraId="0525A551">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供应商资质</w:t>
      </w:r>
    </w:p>
    <w:p w14:paraId="3EC082EA">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生产厂家授权书</w:t>
      </w:r>
    </w:p>
    <w:p w14:paraId="1EDB7244">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生产厂家资质</w:t>
      </w:r>
    </w:p>
    <w:p w14:paraId="63FAC26F">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法人授权书</w:t>
      </w:r>
    </w:p>
    <w:p w14:paraId="29393696">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7F26C5BD">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EF0DA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0558AF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2695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79266E9B">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D17B53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5F0B265A">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3861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5F1E389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6E482E8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EF82B85">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2B7D6CDE">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7CA37880">
      <w:pPr>
        <w:widowControl w:val="0"/>
        <w:numPr>
          <w:ilvl w:val="0"/>
          <w:numId w:val="0"/>
        </w:num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44BCEE40">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技术参数响应及偏离表</w:t>
      </w:r>
    </w:p>
    <w:tbl>
      <w:tblPr>
        <w:tblStyle w:val="3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8"/>
        <w:gridCol w:w="2325"/>
        <w:gridCol w:w="2204"/>
        <w:gridCol w:w="1945"/>
        <w:gridCol w:w="1097"/>
      </w:tblGrid>
      <w:tr w14:paraId="7CBCC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948" w:type="dxa"/>
            <w:noWrap w:val="0"/>
            <w:vAlign w:val="center"/>
          </w:tcPr>
          <w:p w14:paraId="503E76BE">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序号</w:t>
            </w:r>
          </w:p>
        </w:tc>
        <w:tc>
          <w:tcPr>
            <w:tcW w:w="2325" w:type="dxa"/>
            <w:noWrap w:val="0"/>
            <w:vAlign w:val="center"/>
          </w:tcPr>
          <w:p w14:paraId="72017F49">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采购要求</w:t>
            </w:r>
          </w:p>
        </w:tc>
        <w:tc>
          <w:tcPr>
            <w:tcW w:w="2204" w:type="dxa"/>
            <w:noWrap w:val="0"/>
            <w:vAlign w:val="center"/>
          </w:tcPr>
          <w:p w14:paraId="6A85DB06">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磋商响应</w:t>
            </w:r>
          </w:p>
        </w:tc>
        <w:tc>
          <w:tcPr>
            <w:tcW w:w="1945" w:type="dxa"/>
            <w:noWrap w:val="0"/>
            <w:vAlign w:val="center"/>
          </w:tcPr>
          <w:p w14:paraId="1127674D">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超出、符合或偏离</w:t>
            </w:r>
          </w:p>
        </w:tc>
        <w:tc>
          <w:tcPr>
            <w:tcW w:w="1097" w:type="dxa"/>
            <w:noWrap w:val="0"/>
            <w:vAlign w:val="center"/>
          </w:tcPr>
          <w:p w14:paraId="28B7E8E1">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证明材料</w:t>
            </w:r>
          </w:p>
        </w:tc>
      </w:tr>
      <w:tr w14:paraId="5E016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2EB4A63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3B465D02">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735CD8B7">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8D41F3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7D760E80">
            <w:pPr>
              <w:shd w:val="clear" w:color="auto" w:fill="auto"/>
              <w:spacing w:line="360" w:lineRule="auto"/>
              <w:jc w:val="center"/>
              <w:outlineLvl w:val="9"/>
              <w:rPr>
                <w:rFonts w:ascii="宋体" w:hAnsi="宋体" w:cs="宋体"/>
                <w:color w:val="000000"/>
                <w:szCs w:val="21"/>
                <w:highlight w:val="none"/>
              </w:rPr>
            </w:pPr>
          </w:p>
        </w:tc>
      </w:tr>
      <w:tr w14:paraId="2C8CE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0BE6E345">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B076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01B043D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0488F32">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04101D35">
            <w:pPr>
              <w:shd w:val="clear" w:color="auto" w:fill="auto"/>
              <w:spacing w:line="360" w:lineRule="auto"/>
              <w:jc w:val="center"/>
              <w:outlineLvl w:val="9"/>
              <w:rPr>
                <w:rFonts w:ascii="宋体" w:hAnsi="宋体" w:cs="宋体"/>
                <w:color w:val="000000"/>
                <w:szCs w:val="21"/>
                <w:highlight w:val="none"/>
              </w:rPr>
            </w:pPr>
          </w:p>
        </w:tc>
      </w:tr>
      <w:tr w14:paraId="75704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68A0891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7E6E0758">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59D2EB0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05BE6A6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5FF8DA2">
            <w:pPr>
              <w:shd w:val="clear" w:color="auto" w:fill="auto"/>
              <w:spacing w:line="360" w:lineRule="auto"/>
              <w:jc w:val="center"/>
              <w:outlineLvl w:val="9"/>
              <w:rPr>
                <w:rFonts w:ascii="宋体" w:hAnsi="宋体" w:cs="宋体"/>
                <w:color w:val="000000"/>
                <w:szCs w:val="21"/>
                <w:highlight w:val="none"/>
              </w:rPr>
            </w:pPr>
          </w:p>
        </w:tc>
      </w:tr>
      <w:tr w14:paraId="2DFFC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6E2028E">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8CAA51A">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4C5E285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5C56563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701A65B">
            <w:pPr>
              <w:shd w:val="clear" w:color="auto" w:fill="auto"/>
              <w:spacing w:line="360" w:lineRule="auto"/>
              <w:jc w:val="center"/>
              <w:outlineLvl w:val="9"/>
              <w:rPr>
                <w:rFonts w:ascii="宋体" w:hAnsi="宋体" w:cs="宋体"/>
                <w:color w:val="000000"/>
                <w:szCs w:val="21"/>
                <w:highlight w:val="none"/>
              </w:rPr>
            </w:pPr>
          </w:p>
        </w:tc>
      </w:tr>
      <w:tr w14:paraId="4C381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F190F3B">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48D6BA6E">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1E17A27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23BF909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DBE4ABA">
            <w:pPr>
              <w:shd w:val="clear" w:color="auto" w:fill="auto"/>
              <w:spacing w:line="360" w:lineRule="auto"/>
              <w:jc w:val="center"/>
              <w:outlineLvl w:val="9"/>
              <w:rPr>
                <w:rFonts w:ascii="宋体" w:hAnsi="宋体" w:cs="宋体"/>
                <w:color w:val="000000"/>
                <w:szCs w:val="21"/>
                <w:highlight w:val="none"/>
              </w:rPr>
            </w:pPr>
          </w:p>
        </w:tc>
      </w:tr>
      <w:tr w14:paraId="119FC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E753790">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20157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65ECAC95">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1E0098A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35C4F044">
            <w:pPr>
              <w:shd w:val="clear" w:color="auto" w:fill="auto"/>
              <w:spacing w:line="360" w:lineRule="auto"/>
              <w:jc w:val="center"/>
              <w:outlineLvl w:val="9"/>
              <w:rPr>
                <w:rFonts w:ascii="宋体" w:hAnsi="宋体" w:cs="宋体"/>
                <w:color w:val="000000"/>
                <w:szCs w:val="21"/>
                <w:highlight w:val="none"/>
              </w:rPr>
            </w:pPr>
          </w:p>
        </w:tc>
      </w:tr>
      <w:tr w14:paraId="2CBCB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52BAB13">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6D78793B">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3971E854">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E23E6B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EF2FFD7">
            <w:pPr>
              <w:shd w:val="clear" w:color="auto" w:fill="auto"/>
              <w:spacing w:line="360" w:lineRule="auto"/>
              <w:jc w:val="center"/>
              <w:outlineLvl w:val="9"/>
              <w:rPr>
                <w:rFonts w:ascii="宋体" w:hAnsi="宋体" w:cs="宋体"/>
                <w:color w:val="000000"/>
                <w:szCs w:val="21"/>
                <w:highlight w:val="none"/>
              </w:rPr>
            </w:pPr>
          </w:p>
        </w:tc>
      </w:tr>
      <w:tr w14:paraId="64B5B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531C7E1D">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10E8139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20DE97EC">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98A1F47">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90A694A">
            <w:pPr>
              <w:shd w:val="clear" w:color="auto" w:fill="auto"/>
              <w:spacing w:line="360" w:lineRule="auto"/>
              <w:jc w:val="center"/>
              <w:outlineLvl w:val="9"/>
              <w:rPr>
                <w:rFonts w:ascii="宋体" w:hAnsi="宋体" w:cs="宋体"/>
                <w:color w:val="000000"/>
                <w:szCs w:val="21"/>
                <w:highlight w:val="none"/>
              </w:rPr>
            </w:pPr>
          </w:p>
        </w:tc>
      </w:tr>
    </w:tbl>
    <w:p w14:paraId="4B4933B8">
      <w:pPr>
        <w:shd w:val="clear" w:color="auto" w:fill="auto"/>
        <w:spacing w:line="360" w:lineRule="auto"/>
        <w:outlineLvl w:val="9"/>
        <w:rPr>
          <w:rFonts w:ascii="宋体" w:hAnsi="宋体" w:cs="宋体"/>
          <w:color w:val="000000"/>
          <w:sz w:val="24"/>
          <w:szCs w:val="24"/>
          <w:highlight w:val="none"/>
        </w:rPr>
      </w:pPr>
    </w:p>
    <w:p w14:paraId="2B0B32E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 xml:space="preserve">单位名称：（加盖公章）                 </w:t>
      </w:r>
    </w:p>
    <w:p w14:paraId="09DB962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法定代表人（或授权代表）：（签字</w:t>
      </w:r>
      <w:r>
        <w:rPr>
          <w:rFonts w:hint="eastAsia" w:ascii="宋体" w:hAnsi="宋体" w:cs="宋体"/>
          <w:color w:val="000000"/>
          <w:szCs w:val="21"/>
          <w:highlight w:val="none"/>
          <w:lang w:val="en-US" w:eastAsia="zh-CN"/>
        </w:rPr>
        <w:t>或盖章</w:t>
      </w:r>
      <w:r>
        <w:rPr>
          <w:rFonts w:hint="eastAsia" w:ascii="宋体" w:hAnsi="宋体" w:cs="宋体"/>
          <w:color w:val="000000"/>
          <w:szCs w:val="21"/>
          <w:highlight w:val="none"/>
        </w:rPr>
        <w:t xml:space="preserve">）              </w:t>
      </w:r>
    </w:p>
    <w:p w14:paraId="1BA0E006">
      <w:pPr>
        <w:shd w:val="clear" w:color="auto" w:fill="auto"/>
        <w:spacing w:line="360" w:lineRule="auto"/>
        <w:outlineLvl w:val="9"/>
        <w:rPr>
          <w:rFonts w:hint="eastAsia" w:ascii="宋体" w:hAnsi="宋体" w:cs="宋体"/>
          <w:color w:val="000000"/>
          <w:szCs w:val="21"/>
          <w:highlight w:val="none"/>
        </w:rPr>
      </w:pPr>
    </w:p>
    <w:p w14:paraId="7D94F078">
      <w:pPr>
        <w:shd w:val="clear" w:color="auto" w:fill="auto"/>
        <w:spacing w:line="360" w:lineRule="auto"/>
        <w:outlineLvl w:val="9"/>
        <w:rPr>
          <w:rFonts w:ascii="宋体" w:hAnsi="宋体" w:cs="宋体"/>
          <w:color w:val="000000"/>
          <w:szCs w:val="21"/>
          <w:highlight w:val="none"/>
        </w:rPr>
      </w:pPr>
      <w:r>
        <w:rPr>
          <w:rFonts w:hint="eastAsia" w:ascii="宋体" w:hAnsi="宋体" w:cs="宋体"/>
          <w:color w:val="000000"/>
          <w:szCs w:val="21"/>
          <w:highlight w:val="none"/>
        </w:rPr>
        <w:t>注：1、按照基本技术要求详细填列。</w:t>
      </w:r>
    </w:p>
    <w:p w14:paraId="7C84AF7D">
      <w:pPr>
        <w:shd w:val="clear" w:color="auto" w:fill="auto"/>
        <w:spacing w:line="360" w:lineRule="auto"/>
        <w:ind w:firstLine="420"/>
        <w:outlineLvl w:val="9"/>
        <w:rPr>
          <w:rFonts w:hint="eastAsia" w:ascii="宋体" w:hAnsi="宋体" w:cs="宋体"/>
          <w:color w:val="000000"/>
          <w:szCs w:val="21"/>
          <w:highlight w:val="none"/>
        </w:rPr>
        <w:sectPr>
          <w:pgSz w:w="11906" w:h="16838"/>
          <w:pgMar w:top="1270" w:right="1800" w:bottom="1270" w:left="1800" w:header="851" w:footer="992" w:gutter="0"/>
          <w:pgNumType w:fmt="decimal"/>
          <w:cols w:space="1701" w:num="1"/>
          <w:docGrid w:linePitch="360" w:charSpace="0"/>
        </w:sectPr>
      </w:pPr>
      <w:r>
        <w:rPr>
          <w:rFonts w:hint="eastAsia" w:ascii="宋体" w:hAnsi="宋体" w:cs="宋体"/>
          <w:color w:val="000000"/>
          <w:szCs w:val="21"/>
          <w:highlight w:val="none"/>
        </w:rPr>
        <w:t>2、行数不够，可自行添加。</w:t>
      </w:r>
    </w:p>
    <w:p w14:paraId="2B05C9D6">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设备配置清单</w:t>
      </w:r>
      <w:r>
        <w:rPr>
          <w:rFonts w:hint="eastAsia" w:ascii="Times New Roman" w:hAnsi="Times New Roman" w:eastAsia="方正仿宋简体" w:cs="Times New Roman"/>
          <w:sz w:val="24"/>
          <w:szCs w:val="24"/>
          <w:highlight w:val="none"/>
          <w:lang w:val="en-US" w:eastAsia="zh-CN" w:bidi="ar-SA"/>
        </w:rPr>
        <w:t>（明确显示符合技术需求配置要求的配置，</w:t>
      </w:r>
      <w:r>
        <w:rPr>
          <w:rFonts w:hint="eastAsia" w:ascii="Times New Roman" w:eastAsia="方正仿宋简体" w:cs="Times New Roman"/>
          <w:sz w:val="24"/>
          <w:szCs w:val="24"/>
          <w:highlight w:val="none"/>
          <w:lang w:val="en-US" w:eastAsia="zh-CN" w:bidi="ar-SA"/>
        </w:rPr>
        <w:t>核心/主要配置需分项列明</w:t>
      </w:r>
      <w:r>
        <w:rPr>
          <w:rFonts w:hint="eastAsia" w:ascii="Times New Roman" w:hAnsi="Times New Roman" w:eastAsia="方正仿宋简体" w:cs="Times New Roman"/>
          <w:sz w:val="24"/>
          <w:szCs w:val="24"/>
          <w:highlight w:val="none"/>
          <w:lang w:val="en-US" w:eastAsia="zh-CN" w:bidi="ar-SA"/>
        </w:rPr>
        <w:t>）</w:t>
      </w:r>
    </w:p>
    <w:p w14:paraId="2579958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center"/>
        <w:textAlignment w:val="auto"/>
        <w:outlineLvl w:val="9"/>
        <w:rPr>
          <w:rFonts w:hint="eastAsia" w:ascii="宋体" w:hAnsi="宋体" w:eastAsia="宋体" w:cs="宋体"/>
          <w:b/>
          <w:color w:val="000000"/>
          <w:sz w:val="32"/>
          <w:szCs w:val="32"/>
          <w:highlight w:val="none"/>
          <w:lang w:val="en-US" w:eastAsia="zh-CN" w:bidi="ar-SA"/>
        </w:rPr>
      </w:pPr>
      <w:r>
        <w:rPr>
          <w:rFonts w:hint="eastAsia" w:eastAsia="黑体"/>
          <w:b/>
          <w:bCs/>
          <w:sz w:val="28"/>
          <w:szCs w:val="28"/>
          <w:u w:val="single"/>
          <w:lang w:val="en-US" w:eastAsia="zh-CN"/>
        </w:rPr>
        <w:t xml:space="preserve">            </w:t>
      </w:r>
      <w:r>
        <w:rPr>
          <w:rFonts w:ascii="Times New Roman" w:hAnsi="Times New Roman" w:eastAsia="黑体"/>
          <w:b/>
          <w:bCs/>
          <w:sz w:val="28"/>
          <w:szCs w:val="28"/>
        </w:rPr>
        <w:t>配置清单</w:t>
      </w:r>
      <w:r>
        <w:rPr>
          <w:rFonts w:hint="eastAsia" w:ascii="Times New Roman" w:hAnsi="Times New Roman" w:eastAsia="黑体"/>
          <w:b/>
          <w:bCs/>
          <w:sz w:val="28"/>
          <w:szCs w:val="28"/>
          <w:lang w:eastAsia="zh-CN"/>
        </w:rPr>
        <w:t>（</w:t>
      </w:r>
      <w:r>
        <w:rPr>
          <w:rFonts w:hint="eastAsia" w:ascii="Times New Roman" w:hAnsi="Times New Roman" w:eastAsia="黑体"/>
          <w:b/>
          <w:bCs/>
          <w:sz w:val="28"/>
          <w:szCs w:val="28"/>
          <w:lang w:val="en-US" w:eastAsia="zh-CN"/>
        </w:rPr>
        <w:t>单台）</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3353"/>
        <w:gridCol w:w="1756"/>
        <w:gridCol w:w="1323"/>
        <w:gridCol w:w="1323"/>
      </w:tblGrid>
      <w:tr w14:paraId="45F4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810" w:type="dxa"/>
            <w:noWrap w:val="0"/>
            <w:vAlign w:val="center"/>
          </w:tcPr>
          <w:p w14:paraId="03AD9722">
            <w:pPr>
              <w:spacing w:line="240" w:lineRule="auto"/>
              <w:jc w:val="center"/>
              <w:rPr>
                <w:rFonts w:ascii="Times New Roman" w:hAnsi="Times New Roman"/>
                <w:b/>
                <w:bCs/>
                <w:szCs w:val="21"/>
              </w:rPr>
            </w:pPr>
            <w:r>
              <w:rPr>
                <w:rFonts w:ascii="Times New Roman" w:hAnsi="Times New Roman"/>
                <w:b/>
                <w:bCs/>
                <w:szCs w:val="21"/>
              </w:rPr>
              <w:t>序号</w:t>
            </w:r>
          </w:p>
        </w:tc>
        <w:tc>
          <w:tcPr>
            <w:tcW w:w="3713" w:type="dxa"/>
            <w:noWrap w:val="0"/>
            <w:vAlign w:val="center"/>
          </w:tcPr>
          <w:p w14:paraId="52B46B35">
            <w:pPr>
              <w:spacing w:line="240" w:lineRule="auto"/>
              <w:jc w:val="center"/>
              <w:rPr>
                <w:rFonts w:ascii="Times New Roman" w:hAnsi="Times New Roman"/>
                <w:b/>
                <w:bCs/>
                <w:szCs w:val="21"/>
              </w:rPr>
            </w:pPr>
            <w:r>
              <w:rPr>
                <w:rFonts w:ascii="Times New Roman" w:hAnsi="Times New Roman"/>
                <w:b/>
                <w:bCs/>
                <w:szCs w:val="21"/>
              </w:rPr>
              <w:t>设备</w:t>
            </w:r>
            <w:r>
              <w:rPr>
                <w:rFonts w:hint="eastAsia" w:ascii="Times New Roman" w:hAnsi="Times New Roman"/>
                <w:b/>
                <w:bCs/>
                <w:szCs w:val="21"/>
                <w:lang w:eastAsia="zh-CN"/>
              </w:rPr>
              <w:t>硬件</w:t>
            </w:r>
            <w:r>
              <w:rPr>
                <w:rFonts w:ascii="Times New Roman" w:hAnsi="Times New Roman"/>
                <w:b/>
                <w:bCs/>
                <w:szCs w:val="21"/>
              </w:rPr>
              <w:t>配置</w:t>
            </w:r>
          </w:p>
        </w:tc>
        <w:tc>
          <w:tcPr>
            <w:tcW w:w="1894" w:type="dxa"/>
            <w:noWrap w:val="0"/>
            <w:vAlign w:val="center"/>
          </w:tcPr>
          <w:p w14:paraId="7C239EF2">
            <w:pPr>
              <w:spacing w:line="240" w:lineRule="auto"/>
              <w:jc w:val="center"/>
              <w:rPr>
                <w:rFonts w:ascii="Times New Roman" w:hAnsi="Times New Roman"/>
                <w:b/>
                <w:bCs/>
                <w:szCs w:val="21"/>
              </w:rPr>
            </w:pPr>
            <w:r>
              <w:rPr>
                <w:rFonts w:ascii="Times New Roman" w:hAnsi="Times New Roman"/>
                <w:b/>
                <w:bCs/>
                <w:szCs w:val="21"/>
              </w:rPr>
              <w:t>规格型号</w:t>
            </w:r>
          </w:p>
        </w:tc>
        <w:tc>
          <w:tcPr>
            <w:tcW w:w="1433" w:type="dxa"/>
            <w:noWrap w:val="0"/>
            <w:vAlign w:val="center"/>
          </w:tcPr>
          <w:p w14:paraId="41E7D6BF">
            <w:pPr>
              <w:spacing w:line="240" w:lineRule="auto"/>
              <w:jc w:val="center"/>
              <w:rPr>
                <w:rFonts w:ascii="Times New Roman" w:hAnsi="Times New Roman"/>
                <w:b/>
                <w:bCs/>
                <w:szCs w:val="21"/>
              </w:rPr>
            </w:pPr>
            <w:r>
              <w:rPr>
                <w:rFonts w:ascii="Times New Roman" w:hAnsi="Times New Roman"/>
                <w:b/>
                <w:bCs/>
                <w:szCs w:val="21"/>
              </w:rPr>
              <w:t>单位</w:t>
            </w:r>
          </w:p>
        </w:tc>
        <w:tc>
          <w:tcPr>
            <w:tcW w:w="1433" w:type="dxa"/>
            <w:noWrap w:val="0"/>
            <w:vAlign w:val="center"/>
          </w:tcPr>
          <w:p w14:paraId="02EDE4DA">
            <w:pPr>
              <w:spacing w:line="240" w:lineRule="auto"/>
              <w:jc w:val="center"/>
              <w:rPr>
                <w:rFonts w:ascii="Times New Roman" w:hAnsi="Times New Roman"/>
                <w:b/>
                <w:bCs/>
                <w:szCs w:val="21"/>
              </w:rPr>
            </w:pPr>
            <w:r>
              <w:rPr>
                <w:rFonts w:ascii="Times New Roman" w:hAnsi="Times New Roman"/>
                <w:b/>
                <w:bCs/>
                <w:szCs w:val="21"/>
              </w:rPr>
              <w:t>数量</w:t>
            </w:r>
          </w:p>
        </w:tc>
      </w:tr>
      <w:tr w14:paraId="2878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C9C96CC">
            <w:pPr>
              <w:spacing w:line="240" w:lineRule="auto"/>
              <w:jc w:val="center"/>
              <w:rPr>
                <w:rFonts w:ascii="Times New Roman" w:hAnsi="Times New Roman"/>
                <w:szCs w:val="21"/>
              </w:rPr>
            </w:pPr>
            <w:r>
              <w:rPr>
                <w:rFonts w:ascii="Times New Roman" w:hAnsi="Times New Roman"/>
                <w:szCs w:val="21"/>
              </w:rPr>
              <w:t>1</w:t>
            </w:r>
          </w:p>
        </w:tc>
        <w:tc>
          <w:tcPr>
            <w:tcW w:w="3713" w:type="dxa"/>
            <w:noWrap w:val="0"/>
            <w:vAlign w:val="center"/>
          </w:tcPr>
          <w:p w14:paraId="7FE59350">
            <w:pPr>
              <w:spacing w:line="240" w:lineRule="auto"/>
              <w:jc w:val="left"/>
              <w:rPr>
                <w:rFonts w:hint="default" w:ascii="Times New Roman" w:hAnsi="Times New Roman" w:eastAsia="宋体"/>
                <w:szCs w:val="21"/>
                <w:lang w:val="en-US" w:eastAsia="zh-CN"/>
              </w:rPr>
            </w:pPr>
          </w:p>
        </w:tc>
        <w:tc>
          <w:tcPr>
            <w:tcW w:w="1894" w:type="dxa"/>
            <w:noWrap w:val="0"/>
            <w:vAlign w:val="center"/>
          </w:tcPr>
          <w:p w14:paraId="46589DED">
            <w:pPr>
              <w:spacing w:line="240" w:lineRule="auto"/>
              <w:jc w:val="left"/>
              <w:rPr>
                <w:rFonts w:ascii="Times New Roman" w:hAnsi="Times New Roman"/>
                <w:szCs w:val="21"/>
              </w:rPr>
            </w:pPr>
          </w:p>
        </w:tc>
        <w:tc>
          <w:tcPr>
            <w:tcW w:w="1433" w:type="dxa"/>
            <w:noWrap w:val="0"/>
            <w:vAlign w:val="center"/>
          </w:tcPr>
          <w:p w14:paraId="1AD4AF9C">
            <w:pPr>
              <w:spacing w:line="240" w:lineRule="auto"/>
              <w:jc w:val="left"/>
              <w:rPr>
                <w:rFonts w:ascii="Times New Roman" w:hAnsi="Times New Roman"/>
                <w:szCs w:val="21"/>
              </w:rPr>
            </w:pPr>
          </w:p>
        </w:tc>
        <w:tc>
          <w:tcPr>
            <w:tcW w:w="1433" w:type="dxa"/>
            <w:noWrap w:val="0"/>
            <w:vAlign w:val="center"/>
          </w:tcPr>
          <w:p w14:paraId="3718E1AB">
            <w:pPr>
              <w:spacing w:line="240" w:lineRule="auto"/>
              <w:jc w:val="left"/>
              <w:rPr>
                <w:rFonts w:ascii="Times New Roman" w:hAnsi="Times New Roman"/>
                <w:szCs w:val="21"/>
              </w:rPr>
            </w:pPr>
          </w:p>
        </w:tc>
      </w:tr>
      <w:tr w14:paraId="51EA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39C5AEC">
            <w:pPr>
              <w:spacing w:line="240" w:lineRule="auto"/>
              <w:jc w:val="center"/>
              <w:rPr>
                <w:rFonts w:ascii="Times New Roman" w:hAnsi="Times New Roman"/>
                <w:szCs w:val="21"/>
              </w:rPr>
            </w:pPr>
            <w:r>
              <w:rPr>
                <w:rFonts w:ascii="Times New Roman" w:hAnsi="Times New Roman"/>
                <w:szCs w:val="21"/>
              </w:rPr>
              <w:t>2</w:t>
            </w:r>
          </w:p>
        </w:tc>
        <w:tc>
          <w:tcPr>
            <w:tcW w:w="3713" w:type="dxa"/>
            <w:noWrap w:val="0"/>
            <w:vAlign w:val="center"/>
          </w:tcPr>
          <w:p w14:paraId="4631879E">
            <w:pPr>
              <w:spacing w:line="240" w:lineRule="auto"/>
              <w:jc w:val="left"/>
              <w:rPr>
                <w:rFonts w:ascii="Times New Roman" w:hAnsi="Times New Roman"/>
                <w:szCs w:val="21"/>
              </w:rPr>
            </w:pPr>
          </w:p>
        </w:tc>
        <w:tc>
          <w:tcPr>
            <w:tcW w:w="1894" w:type="dxa"/>
            <w:noWrap w:val="0"/>
            <w:vAlign w:val="center"/>
          </w:tcPr>
          <w:p w14:paraId="505674B8">
            <w:pPr>
              <w:spacing w:line="240" w:lineRule="auto"/>
              <w:jc w:val="left"/>
              <w:rPr>
                <w:rFonts w:ascii="Times New Roman" w:hAnsi="Times New Roman"/>
                <w:szCs w:val="21"/>
              </w:rPr>
            </w:pPr>
          </w:p>
        </w:tc>
        <w:tc>
          <w:tcPr>
            <w:tcW w:w="1433" w:type="dxa"/>
            <w:noWrap w:val="0"/>
            <w:vAlign w:val="center"/>
          </w:tcPr>
          <w:p w14:paraId="42DE8FD4">
            <w:pPr>
              <w:spacing w:line="240" w:lineRule="auto"/>
              <w:jc w:val="left"/>
              <w:rPr>
                <w:rFonts w:ascii="Times New Roman" w:hAnsi="Times New Roman"/>
                <w:szCs w:val="21"/>
              </w:rPr>
            </w:pPr>
          </w:p>
        </w:tc>
        <w:tc>
          <w:tcPr>
            <w:tcW w:w="1433" w:type="dxa"/>
            <w:noWrap w:val="0"/>
            <w:vAlign w:val="center"/>
          </w:tcPr>
          <w:p w14:paraId="7DAA3540">
            <w:pPr>
              <w:spacing w:line="240" w:lineRule="auto"/>
              <w:jc w:val="left"/>
              <w:rPr>
                <w:rFonts w:ascii="Times New Roman" w:hAnsi="Times New Roman"/>
                <w:szCs w:val="21"/>
              </w:rPr>
            </w:pPr>
          </w:p>
        </w:tc>
      </w:tr>
      <w:tr w14:paraId="7019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6A403B7">
            <w:pPr>
              <w:spacing w:line="240" w:lineRule="auto"/>
              <w:jc w:val="center"/>
              <w:rPr>
                <w:rFonts w:ascii="Times New Roman" w:hAnsi="Times New Roman"/>
                <w:szCs w:val="21"/>
              </w:rPr>
            </w:pPr>
            <w:r>
              <w:rPr>
                <w:rFonts w:ascii="Times New Roman" w:hAnsi="Times New Roman"/>
                <w:szCs w:val="21"/>
              </w:rPr>
              <w:t>3</w:t>
            </w:r>
          </w:p>
        </w:tc>
        <w:tc>
          <w:tcPr>
            <w:tcW w:w="3713" w:type="dxa"/>
            <w:noWrap w:val="0"/>
            <w:vAlign w:val="center"/>
          </w:tcPr>
          <w:p w14:paraId="499E1050">
            <w:pPr>
              <w:spacing w:line="240" w:lineRule="auto"/>
              <w:jc w:val="left"/>
              <w:rPr>
                <w:rFonts w:ascii="Times New Roman" w:hAnsi="Times New Roman"/>
                <w:szCs w:val="21"/>
              </w:rPr>
            </w:pPr>
          </w:p>
        </w:tc>
        <w:tc>
          <w:tcPr>
            <w:tcW w:w="1894" w:type="dxa"/>
            <w:noWrap w:val="0"/>
            <w:vAlign w:val="center"/>
          </w:tcPr>
          <w:p w14:paraId="20F1308F">
            <w:pPr>
              <w:spacing w:line="240" w:lineRule="auto"/>
              <w:jc w:val="left"/>
              <w:rPr>
                <w:rFonts w:ascii="Times New Roman" w:hAnsi="Times New Roman"/>
                <w:szCs w:val="21"/>
              </w:rPr>
            </w:pPr>
          </w:p>
        </w:tc>
        <w:tc>
          <w:tcPr>
            <w:tcW w:w="1433" w:type="dxa"/>
            <w:noWrap w:val="0"/>
            <w:vAlign w:val="center"/>
          </w:tcPr>
          <w:p w14:paraId="6A5A6C76">
            <w:pPr>
              <w:spacing w:line="240" w:lineRule="auto"/>
              <w:jc w:val="left"/>
              <w:rPr>
                <w:rFonts w:ascii="Times New Roman" w:hAnsi="Times New Roman"/>
                <w:szCs w:val="21"/>
              </w:rPr>
            </w:pPr>
          </w:p>
        </w:tc>
        <w:tc>
          <w:tcPr>
            <w:tcW w:w="1433" w:type="dxa"/>
            <w:noWrap w:val="0"/>
            <w:vAlign w:val="center"/>
          </w:tcPr>
          <w:p w14:paraId="22E47C88">
            <w:pPr>
              <w:spacing w:line="240" w:lineRule="auto"/>
              <w:jc w:val="left"/>
              <w:rPr>
                <w:rFonts w:ascii="Times New Roman" w:hAnsi="Times New Roman"/>
                <w:szCs w:val="21"/>
              </w:rPr>
            </w:pPr>
          </w:p>
        </w:tc>
      </w:tr>
      <w:tr w14:paraId="4248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10F56DA">
            <w:pPr>
              <w:spacing w:line="240" w:lineRule="auto"/>
              <w:jc w:val="center"/>
              <w:rPr>
                <w:rFonts w:ascii="Times New Roman" w:hAnsi="Times New Roman"/>
                <w:szCs w:val="21"/>
              </w:rPr>
            </w:pPr>
            <w:r>
              <w:rPr>
                <w:rFonts w:ascii="Times New Roman" w:hAnsi="Times New Roman"/>
                <w:szCs w:val="21"/>
              </w:rPr>
              <w:t>4</w:t>
            </w:r>
          </w:p>
        </w:tc>
        <w:tc>
          <w:tcPr>
            <w:tcW w:w="3713" w:type="dxa"/>
            <w:noWrap w:val="0"/>
            <w:vAlign w:val="center"/>
          </w:tcPr>
          <w:p w14:paraId="3FAFBF73">
            <w:pPr>
              <w:spacing w:line="240" w:lineRule="auto"/>
              <w:jc w:val="left"/>
              <w:rPr>
                <w:rFonts w:ascii="Times New Roman" w:hAnsi="Times New Roman"/>
                <w:szCs w:val="21"/>
              </w:rPr>
            </w:pPr>
          </w:p>
        </w:tc>
        <w:tc>
          <w:tcPr>
            <w:tcW w:w="1894" w:type="dxa"/>
            <w:noWrap w:val="0"/>
            <w:vAlign w:val="center"/>
          </w:tcPr>
          <w:p w14:paraId="21568733">
            <w:pPr>
              <w:spacing w:line="240" w:lineRule="auto"/>
              <w:jc w:val="left"/>
              <w:rPr>
                <w:rFonts w:ascii="Times New Roman" w:hAnsi="Times New Roman"/>
                <w:szCs w:val="21"/>
              </w:rPr>
            </w:pPr>
          </w:p>
        </w:tc>
        <w:tc>
          <w:tcPr>
            <w:tcW w:w="1433" w:type="dxa"/>
            <w:noWrap w:val="0"/>
            <w:vAlign w:val="center"/>
          </w:tcPr>
          <w:p w14:paraId="0364E882">
            <w:pPr>
              <w:spacing w:line="240" w:lineRule="auto"/>
              <w:jc w:val="left"/>
              <w:rPr>
                <w:rFonts w:ascii="Times New Roman" w:hAnsi="Times New Roman"/>
                <w:szCs w:val="21"/>
              </w:rPr>
            </w:pPr>
          </w:p>
        </w:tc>
        <w:tc>
          <w:tcPr>
            <w:tcW w:w="1433" w:type="dxa"/>
            <w:noWrap w:val="0"/>
            <w:vAlign w:val="center"/>
          </w:tcPr>
          <w:p w14:paraId="1AFD1274">
            <w:pPr>
              <w:spacing w:line="240" w:lineRule="auto"/>
              <w:jc w:val="left"/>
              <w:rPr>
                <w:rFonts w:ascii="Times New Roman" w:hAnsi="Times New Roman"/>
                <w:szCs w:val="21"/>
              </w:rPr>
            </w:pPr>
          </w:p>
        </w:tc>
      </w:tr>
      <w:tr w14:paraId="0079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62D7D8D">
            <w:pPr>
              <w:spacing w:line="240" w:lineRule="auto"/>
              <w:jc w:val="center"/>
              <w:rPr>
                <w:rFonts w:ascii="Times New Roman" w:hAnsi="Times New Roman"/>
                <w:szCs w:val="21"/>
              </w:rPr>
            </w:pPr>
            <w:r>
              <w:rPr>
                <w:rFonts w:ascii="Times New Roman" w:hAnsi="Times New Roman"/>
                <w:szCs w:val="21"/>
              </w:rPr>
              <w:t>5</w:t>
            </w:r>
          </w:p>
        </w:tc>
        <w:tc>
          <w:tcPr>
            <w:tcW w:w="3713" w:type="dxa"/>
            <w:noWrap w:val="0"/>
            <w:vAlign w:val="center"/>
          </w:tcPr>
          <w:p w14:paraId="1209A6EE">
            <w:pPr>
              <w:spacing w:line="240" w:lineRule="auto"/>
              <w:jc w:val="left"/>
              <w:rPr>
                <w:rFonts w:ascii="Times New Roman" w:hAnsi="Times New Roman"/>
                <w:szCs w:val="21"/>
              </w:rPr>
            </w:pPr>
          </w:p>
        </w:tc>
        <w:tc>
          <w:tcPr>
            <w:tcW w:w="1894" w:type="dxa"/>
            <w:noWrap w:val="0"/>
            <w:vAlign w:val="center"/>
          </w:tcPr>
          <w:p w14:paraId="4BD8E8A8">
            <w:pPr>
              <w:spacing w:line="240" w:lineRule="auto"/>
              <w:jc w:val="left"/>
              <w:rPr>
                <w:rFonts w:ascii="Times New Roman" w:hAnsi="Times New Roman"/>
                <w:szCs w:val="21"/>
              </w:rPr>
            </w:pPr>
          </w:p>
        </w:tc>
        <w:tc>
          <w:tcPr>
            <w:tcW w:w="1433" w:type="dxa"/>
            <w:noWrap w:val="0"/>
            <w:vAlign w:val="center"/>
          </w:tcPr>
          <w:p w14:paraId="130D59F7">
            <w:pPr>
              <w:spacing w:line="240" w:lineRule="auto"/>
              <w:jc w:val="left"/>
              <w:rPr>
                <w:rFonts w:ascii="Times New Roman" w:hAnsi="Times New Roman"/>
                <w:szCs w:val="21"/>
              </w:rPr>
            </w:pPr>
          </w:p>
        </w:tc>
        <w:tc>
          <w:tcPr>
            <w:tcW w:w="1433" w:type="dxa"/>
            <w:noWrap w:val="0"/>
            <w:vAlign w:val="center"/>
          </w:tcPr>
          <w:p w14:paraId="5B1810ED">
            <w:pPr>
              <w:spacing w:line="240" w:lineRule="auto"/>
              <w:jc w:val="left"/>
              <w:rPr>
                <w:rFonts w:ascii="Times New Roman" w:hAnsi="Times New Roman"/>
                <w:szCs w:val="21"/>
              </w:rPr>
            </w:pPr>
          </w:p>
        </w:tc>
      </w:tr>
      <w:tr w14:paraId="19B0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18CBDBFB">
            <w:pPr>
              <w:spacing w:line="240" w:lineRule="auto"/>
              <w:jc w:val="center"/>
              <w:rPr>
                <w:rFonts w:ascii="Times New Roman" w:hAnsi="Times New Roman"/>
                <w:szCs w:val="21"/>
              </w:rPr>
            </w:pPr>
            <w:r>
              <w:rPr>
                <w:rFonts w:ascii="Times New Roman" w:hAnsi="Times New Roman"/>
                <w:szCs w:val="21"/>
              </w:rPr>
              <w:t>6</w:t>
            </w:r>
          </w:p>
        </w:tc>
        <w:tc>
          <w:tcPr>
            <w:tcW w:w="3713" w:type="dxa"/>
            <w:noWrap w:val="0"/>
            <w:vAlign w:val="center"/>
          </w:tcPr>
          <w:p w14:paraId="058055BD">
            <w:pPr>
              <w:spacing w:line="240" w:lineRule="auto"/>
              <w:jc w:val="left"/>
              <w:rPr>
                <w:rFonts w:ascii="Times New Roman" w:hAnsi="Times New Roman"/>
                <w:szCs w:val="21"/>
              </w:rPr>
            </w:pPr>
          </w:p>
        </w:tc>
        <w:tc>
          <w:tcPr>
            <w:tcW w:w="1894" w:type="dxa"/>
            <w:noWrap w:val="0"/>
            <w:vAlign w:val="center"/>
          </w:tcPr>
          <w:p w14:paraId="0744039E">
            <w:pPr>
              <w:spacing w:line="240" w:lineRule="auto"/>
              <w:jc w:val="left"/>
              <w:rPr>
                <w:rFonts w:ascii="Times New Roman" w:hAnsi="Times New Roman"/>
                <w:szCs w:val="21"/>
              </w:rPr>
            </w:pPr>
          </w:p>
        </w:tc>
        <w:tc>
          <w:tcPr>
            <w:tcW w:w="1433" w:type="dxa"/>
            <w:noWrap w:val="0"/>
            <w:vAlign w:val="center"/>
          </w:tcPr>
          <w:p w14:paraId="66A5DE77">
            <w:pPr>
              <w:spacing w:line="240" w:lineRule="auto"/>
              <w:jc w:val="left"/>
              <w:rPr>
                <w:rFonts w:ascii="Times New Roman" w:hAnsi="Times New Roman"/>
                <w:szCs w:val="21"/>
              </w:rPr>
            </w:pPr>
          </w:p>
        </w:tc>
        <w:tc>
          <w:tcPr>
            <w:tcW w:w="1433" w:type="dxa"/>
            <w:noWrap w:val="0"/>
            <w:vAlign w:val="center"/>
          </w:tcPr>
          <w:p w14:paraId="6ED19A99">
            <w:pPr>
              <w:spacing w:line="240" w:lineRule="auto"/>
              <w:jc w:val="left"/>
              <w:rPr>
                <w:rFonts w:ascii="Times New Roman" w:hAnsi="Times New Roman"/>
                <w:szCs w:val="21"/>
              </w:rPr>
            </w:pPr>
          </w:p>
        </w:tc>
      </w:tr>
      <w:tr w14:paraId="0040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0CEAC81">
            <w:pPr>
              <w:spacing w:line="240" w:lineRule="auto"/>
              <w:jc w:val="center"/>
              <w:rPr>
                <w:rFonts w:hint="eastAsia" w:ascii="Times New Roman" w:hAnsi="Times New Roman"/>
                <w:szCs w:val="21"/>
              </w:rPr>
            </w:pPr>
            <w:r>
              <w:rPr>
                <w:rFonts w:hint="eastAsia" w:ascii="Times New Roman" w:hAnsi="Times New Roman"/>
                <w:szCs w:val="21"/>
              </w:rPr>
              <w:t>7</w:t>
            </w:r>
          </w:p>
        </w:tc>
        <w:tc>
          <w:tcPr>
            <w:tcW w:w="3713" w:type="dxa"/>
            <w:noWrap w:val="0"/>
            <w:vAlign w:val="center"/>
          </w:tcPr>
          <w:p w14:paraId="717EF4A9">
            <w:pPr>
              <w:spacing w:line="240" w:lineRule="auto"/>
              <w:jc w:val="left"/>
              <w:rPr>
                <w:rFonts w:ascii="Times New Roman" w:hAnsi="Times New Roman"/>
                <w:szCs w:val="21"/>
              </w:rPr>
            </w:pPr>
          </w:p>
        </w:tc>
        <w:tc>
          <w:tcPr>
            <w:tcW w:w="1894" w:type="dxa"/>
            <w:noWrap w:val="0"/>
            <w:vAlign w:val="center"/>
          </w:tcPr>
          <w:p w14:paraId="072479E3">
            <w:pPr>
              <w:spacing w:line="240" w:lineRule="auto"/>
              <w:jc w:val="left"/>
              <w:rPr>
                <w:rFonts w:ascii="Times New Roman" w:hAnsi="Times New Roman"/>
                <w:szCs w:val="21"/>
              </w:rPr>
            </w:pPr>
          </w:p>
        </w:tc>
        <w:tc>
          <w:tcPr>
            <w:tcW w:w="1433" w:type="dxa"/>
            <w:noWrap w:val="0"/>
            <w:vAlign w:val="center"/>
          </w:tcPr>
          <w:p w14:paraId="73E65559">
            <w:pPr>
              <w:spacing w:line="240" w:lineRule="auto"/>
              <w:jc w:val="left"/>
              <w:rPr>
                <w:rFonts w:ascii="Times New Roman" w:hAnsi="Times New Roman"/>
                <w:szCs w:val="21"/>
              </w:rPr>
            </w:pPr>
          </w:p>
        </w:tc>
        <w:tc>
          <w:tcPr>
            <w:tcW w:w="1433" w:type="dxa"/>
            <w:noWrap w:val="0"/>
            <w:vAlign w:val="center"/>
          </w:tcPr>
          <w:p w14:paraId="6426B9E4">
            <w:pPr>
              <w:spacing w:line="240" w:lineRule="auto"/>
              <w:jc w:val="left"/>
              <w:rPr>
                <w:rFonts w:ascii="Times New Roman" w:hAnsi="Times New Roman"/>
                <w:szCs w:val="21"/>
              </w:rPr>
            </w:pPr>
          </w:p>
        </w:tc>
      </w:tr>
      <w:tr w14:paraId="1551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2AE0AFB">
            <w:pPr>
              <w:spacing w:line="240" w:lineRule="auto"/>
              <w:jc w:val="center"/>
              <w:rPr>
                <w:rFonts w:hint="eastAsia" w:ascii="Times New Roman" w:hAnsi="Times New Roman"/>
                <w:szCs w:val="21"/>
              </w:rPr>
            </w:pPr>
            <w:r>
              <w:rPr>
                <w:rFonts w:hint="eastAsia" w:ascii="Times New Roman" w:hAnsi="Times New Roman"/>
                <w:szCs w:val="21"/>
              </w:rPr>
              <w:t>8</w:t>
            </w:r>
          </w:p>
        </w:tc>
        <w:tc>
          <w:tcPr>
            <w:tcW w:w="3713" w:type="dxa"/>
            <w:noWrap w:val="0"/>
            <w:vAlign w:val="center"/>
          </w:tcPr>
          <w:p w14:paraId="4FEA1CD3">
            <w:pPr>
              <w:spacing w:line="240" w:lineRule="auto"/>
              <w:jc w:val="left"/>
              <w:rPr>
                <w:rFonts w:ascii="Times New Roman" w:hAnsi="Times New Roman"/>
                <w:szCs w:val="21"/>
              </w:rPr>
            </w:pPr>
          </w:p>
        </w:tc>
        <w:tc>
          <w:tcPr>
            <w:tcW w:w="1894" w:type="dxa"/>
            <w:noWrap w:val="0"/>
            <w:vAlign w:val="center"/>
          </w:tcPr>
          <w:p w14:paraId="2F706CF1">
            <w:pPr>
              <w:spacing w:line="240" w:lineRule="auto"/>
              <w:jc w:val="left"/>
              <w:rPr>
                <w:rFonts w:ascii="Times New Roman" w:hAnsi="Times New Roman"/>
                <w:szCs w:val="21"/>
              </w:rPr>
            </w:pPr>
          </w:p>
        </w:tc>
        <w:tc>
          <w:tcPr>
            <w:tcW w:w="1433" w:type="dxa"/>
            <w:noWrap w:val="0"/>
            <w:vAlign w:val="center"/>
          </w:tcPr>
          <w:p w14:paraId="257552F7">
            <w:pPr>
              <w:spacing w:line="240" w:lineRule="auto"/>
              <w:jc w:val="left"/>
              <w:rPr>
                <w:rFonts w:ascii="Times New Roman" w:hAnsi="Times New Roman"/>
                <w:szCs w:val="21"/>
              </w:rPr>
            </w:pPr>
          </w:p>
        </w:tc>
        <w:tc>
          <w:tcPr>
            <w:tcW w:w="1433" w:type="dxa"/>
            <w:noWrap w:val="0"/>
            <w:vAlign w:val="center"/>
          </w:tcPr>
          <w:p w14:paraId="489121CE">
            <w:pPr>
              <w:spacing w:line="240" w:lineRule="auto"/>
              <w:jc w:val="left"/>
              <w:rPr>
                <w:rFonts w:ascii="Times New Roman" w:hAnsi="Times New Roman"/>
                <w:szCs w:val="21"/>
              </w:rPr>
            </w:pPr>
          </w:p>
        </w:tc>
      </w:tr>
      <w:tr w14:paraId="2208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1AB5DB3">
            <w:pPr>
              <w:spacing w:line="240" w:lineRule="auto"/>
              <w:jc w:val="center"/>
              <w:rPr>
                <w:rFonts w:hint="eastAsia" w:ascii="Times New Roman" w:hAnsi="Times New Roman"/>
                <w:szCs w:val="21"/>
              </w:rPr>
            </w:pPr>
            <w:r>
              <w:rPr>
                <w:rFonts w:hint="eastAsia" w:ascii="Times New Roman" w:hAnsi="Times New Roman"/>
                <w:szCs w:val="21"/>
              </w:rPr>
              <w:t>9</w:t>
            </w:r>
          </w:p>
        </w:tc>
        <w:tc>
          <w:tcPr>
            <w:tcW w:w="3713" w:type="dxa"/>
            <w:noWrap w:val="0"/>
            <w:vAlign w:val="center"/>
          </w:tcPr>
          <w:p w14:paraId="2994147B">
            <w:pPr>
              <w:spacing w:line="240" w:lineRule="auto"/>
              <w:jc w:val="left"/>
              <w:rPr>
                <w:rFonts w:ascii="Times New Roman" w:hAnsi="Times New Roman"/>
                <w:szCs w:val="21"/>
              </w:rPr>
            </w:pPr>
          </w:p>
        </w:tc>
        <w:tc>
          <w:tcPr>
            <w:tcW w:w="1894" w:type="dxa"/>
            <w:noWrap w:val="0"/>
            <w:vAlign w:val="center"/>
          </w:tcPr>
          <w:p w14:paraId="05A8903B">
            <w:pPr>
              <w:spacing w:line="240" w:lineRule="auto"/>
              <w:jc w:val="left"/>
              <w:rPr>
                <w:rFonts w:ascii="Times New Roman" w:hAnsi="Times New Roman"/>
                <w:szCs w:val="21"/>
              </w:rPr>
            </w:pPr>
          </w:p>
        </w:tc>
        <w:tc>
          <w:tcPr>
            <w:tcW w:w="1433" w:type="dxa"/>
            <w:noWrap w:val="0"/>
            <w:vAlign w:val="center"/>
          </w:tcPr>
          <w:p w14:paraId="3D7601A6">
            <w:pPr>
              <w:spacing w:line="240" w:lineRule="auto"/>
              <w:jc w:val="left"/>
              <w:rPr>
                <w:rFonts w:ascii="Times New Roman" w:hAnsi="Times New Roman"/>
                <w:szCs w:val="21"/>
              </w:rPr>
            </w:pPr>
          </w:p>
        </w:tc>
        <w:tc>
          <w:tcPr>
            <w:tcW w:w="1433" w:type="dxa"/>
            <w:noWrap w:val="0"/>
            <w:vAlign w:val="center"/>
          </w:tcPr>
          <w:p w14:paraId="114E76F3">
            <w:pPr>
              <w:spacing w:line="240" w:lineRule="auto"/>
              <w:jc w:val="left"/>
              <w:rPr>
                <w:rFonts w:ascii="Times New Roman" w:hAnsi="Times New Roman"/>
                <w:szCs w:val="21"/>
              </w:rPr>
            </w:pPr>
          </w:p>
        </w:tc>
      </w:tr>
      <w:tr w14:paraId="23CE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79D5CAD">
            <w:pPr>
              <w:spacing w:line="240"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10</w:t>
            </w:r>
          </w:p>
        </w:tc>
        <w:tc>
          <w:tcPr>
            <w:tcW w:w="3713" w:type="dxa"/>
            <w:noWrap w:val="0"/>
            <w:vAlign w:val="center"/>
          </w:tcPr>
          <w:p w14:paraId="0C9C00AC">
            <w:pPr>
              <w:spacing w:line="240" w:lineRule="auto"/>
              <w:jc w:val="left"/>
              <w:rPr>
                <w:rFonts w:ascii="Times New Roman" w:hAnsi="Times New Roman"/>
                <w:szCs w:val="21"/>
              </w:rPr>
            </w:pPr>
          </w:p>
        </w:tc>
        <w:tc>
          <w:tcPr>
            <w:tcW w:w="1894" w:type="dxa"/>
            <w:noWrap w:val="0"/>
            <w:vAlign w:val="center"/>
          </w:tcPr>
          <w:p w14:paraId="7B63629A">
            <w:pPr>
              <w:spacing w:line="240" w:lineRule="auto"/>
              <w:jc w:val="left"/>
              <w:rPr>
                <w:rFonts w:ascii="Times New Roman" w:hAnsi="Times New Roman"/>
                <w:szCs w:val="21"/>
              </w:rPr>
            </w:pPr>
          </w:p>
        </w:tc>
        <w:tc>
          <w:tcPr>
            <w:tcW w:w="1433" w:type="dxa"/>
            <w:noWrap w:val="0"/>
            <w:vAlign w:val="center"/>
          </w:tcPr>
          <w:p w14:paraId="1BCD102D">
            <w:pPr>
              <w:spacing w:line="240" w:lineRule="auto"/>
              <w:jc w:val="left"/>
              <w:rPr>
                <w:rFonts w:ascii="Times New Roman" w:hAnsi="Times New Roman"/>
                <w:szCs w:val="21"/>
              </w:rPr>
            </w:pPr>
          </w:p>
        </w:tc>
        <w:tc>
          <w:tcPr>
            <w:tcW w:w="1433" w:type="dxa"/>
            <w:noWrap w:val="0"/>
            <w:vAlign w:val="center"/>
          </w:tcPr>
          <w:p w14:paraId="45E1D2DA">
            <w:pPr>
              <w:spacing w:line="240" w:lineRule="auto"/>
              <w:jc w:val="left"/>
              <w:rPr>
                <w:rFonts w:ascii="Times New Roman" w:hAnsi="Times New Roman"/>
                <w:szCs w:val="21"/>
              </w:rPr>
            </w:pPr>
          </w:p>
        </w:tc>
      </w:tr>
      <w:tr w14:paraId="4720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56EDE4B">
            <w:pPr>
              <w:spacing w:line="240" w:lineRule="auto"/>
              <w:jc w:val="center"/>
              <w:rPr>
                <w:rFonts w:hint="default" w:ascii="Times New Roman" w:hAnsi="Times New Roman"/>
                <w:szCs w:val="21"/>
                <w:lang w:val="en-US" w:eastAsia="zh-CN"/>
              </w:rPr>
            </w:pPr>
            <w:r>
              <w:rPr>
                <w:rFonts w:hint="eastAsia" w:ascii="Times New Roman" w:hAnsi="Times New Roman"/>
                <w:szCs w:val="21"/>
                <w:lang w:val="en-US" w:eastAsia="zh-CN"/>
              </w:rPr>
              <w:t>11</w:t>
            </w:r>
          </w:p>
        </w:tc>
        <w:tc>
          <w:tcPr>
            <w:tcW w:w="3713" w:type="dxa"/>
            <w:noWrap w:val="0"/>
            <w:vAlign w:val="center"/>
          </w:tcPr>
          <w:p w14:paraId="6F24BE6D">
            <w:pPr>
              <w:spacing w:line="240" w:lineRule="auto"/>
              <w:jc w:val="left"/>
              <w:rPr>
                <w:rFonts w:ascii="Times New Roman" w:hAnsi="Times New Roman"/>
                <w:szCs w:val="21"/>
              </w:rPr>
            </w:pPr>
          </w:p>
        </w:tc>
        <w:tc>
          <w:tcPr>
            <w:tcW w:w="1894" w:type="dxa"/>
            <w:noWrap w:val="0"/>
            <w:vAlign w:val="center"/>
          </w:tcPr>
          <w:p w14:paraId="34B9C788">
            <w:pPr>
              <w:spacing w:line="240" w:lineRule="auto"/>
              <w:jc w:val="left"/>
              <w:rPr>
                <w:rFonts w:ascii="Times New Roman" w:hAnsi="Times New Roman"/>
                <w:szCs w:val="21"/>
              </w:rPr>
            </w:pPr>
          </w:p>
        </w:tc>
        <w:tc>
          <w:tcPr>
            <w:tcW w:w="1433" w:type="dxa"/>
            <w:noWrap w:val="0"/>
            <w:vAlign w:val="center"/>
          </w:tcPr>
          <w:p w14:paraId="6FF9D4AB">
            <w:pPr>
              <w:spacing w:line="240" w:lineRule="auto"/>
              <w:jc w:val="left"/>
              <w:rPr>
                <w:rFonts w:ascii="Times New Roman" w:hAnsi="Times New Roman"/>
                <w:szCs w:val="21"/>
              </w:rPr>
            </w:pPr>
          </w:p>
        </w:tc>
        <w:tc>
          <w:tcPr>
            <w:tcW w:w="1433" w:type="dxa"/>
            <w:noWrap w:val="0"/>
            <w:vAlign w:val="center"/>
          </w:tcPr>
          <w:p w14:paraId="31389604">
            <w:pPr>
              <w:spacing w:line="240" w:lineRule="auto"/>
              <w:jc w:val="left"/>
              <w:rPr>
                <w:rFonts w:ascii="Times New Roman" w:hAnsi="Times New Roman"/>
                <w:szCs w:val="21"/>
              </w:rPr>
            </w:pPr>
          </w:p>
        </w:tc>
      </w:tr>
      <w:tr w14:paraId="0022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EAB0AF5">
            <w:pPr>
              <w:spacing w:line="240" w:lineRule="auto"/>
              <w:jc w:val="center"/>
              <w:rPr>
                <w:rFonts w:hint="default" w:ascii="Times New Roman" w:hAnsi="Times New Roman"/>
                <w:szCs w:val="21"/>
                <w:lang w:val="en-US" w:eastAsia="zh-CN"/>
              </w:rPr>
            </w:pPr>
            <w:r>
              <w:rPr>
                <w:rFonts w:hint="eastAsia" w:ascii="Times New Roman" w:hAnsi="Times New Roman"/>
                <w:szCs w:val="21"/>
                <w:lang w:val="en-US" w:eastAsia="zh-CN"/>
              </w:rPr>
              <w:t>12</w:t>
            </w:r>
          </w:p>
        </w:tc>
        <w:tc>
          <w:tcPr>
            <w:tcW w:w="3713" w:type="dxa"/>
            <w:noWrap w:val="0"/>
            <w:vAlign w:val="center"/>
          </w:tcPr>
          <w:p w14:paraId="2C74C549">
            <w:pPr>
              <w:spacing w:line="240" w:lineRule="auto"/>
              <w:jc w:val="left"/>
              <w:rPr>
                <w:rFonts w:ascii="Times New Roman" w:hAnsi="Times New Roman"/>
                <w:szCs w:val="21"/>
              </w:rPr>
            </w:pPr>
          </w:p>
        </w:tc>
        <w:tc>
          <w:tcPr>
            <w:tcW w:w="1894" w:type="dxa"/>
            <w:noWrap w:val="0"/>
            <w:vAlign w:val="center"/>
          </w:tcPr>
          <w:p w14:paraId="716186AD">
            <w:pPr>
              <w:spacing w:line="240" w:lineRule="auto"/>
              <w:jc w:val="left"/>
              <w:rPr>
                <w:rFonts w:ascii="Times New Roman" w:hAnsi="Times New Roman"/>
                <w:szCs w:val="21"/>
              </w:rPr>
            </w:pPr>
          </w:p>
        </w:tc>
        <w:tc>
          <w:tcPr>
            <w:tcW w:w="1433" w:type="dxa"/>
            <w:noWrap w:val="0"/>
            <w:vAlign w:val="center"/>
          </w:tcPr>
          <w:p w14:paraId="51C281BF">
            <w:pPr>
              <w:spacing w:line="240" w:lineRule="auto"/>
              <w:jc w:val="left"/>
              <w:rPr>
                <w:rFonts w:ascii="Times New Roman" w:hAnsi="Times New Roman"/>
                <w:szCs w:val="21"/>
              </w:rPr>
            </w:pPr>
          </w:p>
        </w:tc>
        <w:tc>
          <w:tcPr>
            <w:tcW w:w="1433" w:type="dxa"/>
            <w:noWrap w:val="0"/>
            <w:vAlign w:val="center"/>
          </w:tcPr>
          <w:p w14:paraId="4BD8FE04">
            <w:pPr>
              <w:spacing w:line="240" w:lineRule="auto"/>
              <w:jc w:val="left"/>
              <w:rPr>
                <w:rFonts w:ascii="Times New Roman" w:hAnsi="Times New Roman"/>
                <w:szCs w:val="21"/>
              </w:rPr>
            </w:pPr>
          </w:p>
        </w:tc>
      </w:tr>
      <w:tr w14:paraId="2C45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251E3A12">
            <w:pPr>
              <w:spacing w:line="240" w:lineRule="auto"/>
              <w:jc w:val="center"/>
              <w:rPr>
                <w:rFonts w:hint="eastAsia" w:ascii="Times New Roman" w:hAnsi="Times New Roman"/>
                <w:szCs w:val="21"/>
                <w:lang w:val="en-US" w:eastAsia="zh-CN"/>
              </w:rPr>
            </w:pPr>
            <w:r>
              <w:rPr>
                <w:rFonts w:ascii="Times New Roman" w:hAnsi="Times New Roman"/>
                <w:b/>
                <w:bCs/>
                <w:szCs w:val="21"/>
              </w:rPr>
              <w:t>序号</w:t>
            </w:r>
          </w:p>
        </w:tc>
        <w:tc>
          <w:tcPr>
            <w:tcW w:w="3713" w:type="dxa"/>
            <w:noWrap w:val="0"/>
            <w:vAlign w:val="center"/>
          </w:tcPr>
          <w:p w14:paraId="56AA3AFD">
            <w:pPr>
              <w:spacing w:line="240" w:lineRule="auto"/>
              <w:jc w:val="center"/>
              <w:rPr>
                <w:rFonts w:ascii="Times New Roman" w:hAnsi="Times New Roman"/>
                <w:szCs w:val="21"/>
              </w:rPr>
            </w:pPr>
            <w:r>
              <w:rPr>
                <w:rFonts w:ascii="Times New Roman" w:hAnsi="Times New Roman"/>
                <w:b/>
                <w:bCs/>
                <w:szCs w:val="21"/>
              </w:rPr>
              <w:t>设备</w:t>
            </w:r>
            <w:r>
              <w:rPr>
                <w:rFonts w:hint="eastAsia" w:ascii="Times New Roman" w:hAnsi="Times New Roman"/>
                <w:b/>
                <w:bCs/>
                <w:szCs w:val="21"/>
                <w:lang w:eastAsia="zh-CN"/>
              </w:rPr>
              <w:t>软件</w:t>
            </w:r>
            <w:r>
              <w:rPr>
                <w:rFonts w:ascii="Times New Roman" w:hAnsi="Times New Roman"/>
                <w:b/>
                <w:bCs/>
                <w:szCs w:val="21"/>
              </w:rPr>
              <w:t>配置</w:t>
            </w:r>
          </w:p>
        </w:tc>
        <w:tc>
          <w:tcPr>
            <w:tcW w:w="1894" w:type="dxa"/>
            <w:noWrap w:val="0"/>
            <w:vAlign w:val="center"/>
          </w:tcPr>
          <w:p w14:paraId="0C6DD4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Cs w:val="21"/>
                <w:lang w:eastAsia="zh-CN"/>
              </w:rPr>
            </w:pPr>
            <w:r>
              <w:rPr>
                <w:rFonts w:hint="eastAsia" w:ascii="Times New Roman" w:hAnsi="Times New Roman"/>
                <w:b/>
                <w:bCs/>
                <w:szCs w:val="21"/>
                <w:lang w:eastAsia="zh-CN"/>
              </w:rPr>
              <w:t>版本（</w:t>
            </w:r>
            <w:r>
              <w:rPr>
                <w:rFonts w:hint="eastAsia" w:ascii="Times New Roman" w:hAnsi="Times New Roman"/>
                <w:b/>
                <w:bCs/>
                <w:color w:val="FF0000"/>
                <w:szCs w:val="21"/>
                <w:lang w:eastAsia="zh-CN"/>
              </w:rPr>
              <w:t>必须与注册证一致</w:t>
            </w:r>
            <w:r>
              <w:rPr>
                <w:rFonts w:hint="eastAsia" w:ascii="Times New Roman" w:hAnsi="Times New Roman"/>
                <w:b/>
                <w:bCs/>
                <w:szCs w:val="21"/>
                <w:lang w:eastAsia="zh-CN"/>
              </w:rPr>
              <w:t>）</w:t>
            </w:r>
          </w:p>
        </w:tc>
        <w:tc>
          <w:tcPr>
            <w:tcW w:w="2866" w:type="dxa"/>
            <w:gridSpan w:val="2"/>
            <w:noWrap w:val="0"/>
            <w:vAlign w:val="center"/>
          </w:tcPr>
          <w:p w14:paraId="464DA16C">
            <w:pPr>
              <w:spacing w:line="240" w:lineRule="auto"/>
              <w:jc w:val="center"/>
              <w:rPr>
                <w:rFonts w:ascii="Times New Roman" w:hAnsi="Times New Roman"/>
                <w:szCs w:val="21"/>
              </w:rPr>
            </w:pPr>
            <w:r>
              <w:rPr>
                <w:rFonts w:hint="eastAsia" w:ascii="Times New Roman" w:hAnsi="Times New Roman"/>
                <w:b/>
                <w:bCs/>
                <w:szCs w:val="21"/>
                <w:lang w:eastAsia="zh-CN"/>
              </w:rPr>
              <w:t>功能</w:t>
            </w:r>
          </w:p>
        </w:tc>
      </w:tr>
      <w:tr w14:paraId="4731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30DD287">
            <w:pPr>
              <w:spacing w:line="240" w:lineRule="auto"/>
              <w:jc w:val="center"/>
              <w:rPr>
                <w:rFonts w:hint="default" w:ascii="Times New Roman" w:hAnsi="Times New Roman" w:eastAsia="宋体"/>
                <w:szCs w:val="21"/>
                <w:lang w:val="en-US" w:eastAsia="zh-CN"/>
              </w:rPr>
            </w:pPr>
            <w:r>
              <w:rPr>
                <w:rFonts w:ascii="Times New Roman" w:hAnsi="Times New Roman"/>
                <w:szCs w:val="21"/>
              </w:rPr>
              <w:t>1</w:t>
            </w:r>
          </w:p>
        </w:tc>
        <w:tc>
          <w:tcPr>
            <w:tcW w:w="3713" w:type="dxa"/>
            <w:noWrap w:val="0"/>
            <w:vAlign w:val="center"/>
          </w:tcPr>
          <w:p w14:paraId="35A73C4C">
            <w:pPr>
              <w:spacing w:line="240" w:lineRule="auto"/>
              <w:jc w:val="left"/>
              <w:rPr>
                <w:rFonts w:ascii="Times New Roman" w:hAnsi="Times New Roman"/>
                <w:szCs w:val="21"/>
              </w:rPr>
            </w:pPr>
          </w:p>
        </w:tc>
        <w:tc>
          <w:tcPr>
            <w:tcW w:w="1894" w:type="dxa"/>
            <w:noWrap w:val="0"/>
            <w:vAlign w:val="center"/>
          </w:tcPr>
          <w:p w14:paraId="6091F398">
            <w:pPr>
              <w:spacing w:line="240" w:lineRule="auto"/>
              <w:jc w:val="left"/>
              <w:rPr>
                <w:rFonts w:ascii="Times New Roman" w:hAnsi="Times New Roman"/>
                <w:szCs w:val="21"/>
              </w:rPr>
            </w:pPr>
          </w:p>
        </w:tc>
        <w:tc>
          <w:tcPr>
            <w:tcW w:w="2866" w:type="dxa"/>
            <w:gridSpan w:val="2"/>
            <w:noWrap w:val="0"/>
            <w:vAlign w:val="center"/>
          </w:tcPr>
          <w:p w14:paraId="715C27F3">
            <w:pPr>
              <w:spacing w:line="240" w:lineRule="auto"/>
              <w:jc w:val="left"/>
              <w:rPr>
                <w:rFonts w:ascii="Times New Roman" w:hAnsi="Times New Roman"/>
                <w:szCs w:val="21"/>
              </w:rPr>
            </w:pPr>
          </w:p>
        </w:tc>
      </w:tr>
      <w:tr w14:paraId="1D7C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D17854A">
            <w:pPr>
              <w:spacing w:line="240" w:lineRule="auto"/>
              <w:jc w:val="center"/>
              <w:rPr>
                <w:rFonts w:hint="default" w:ascii="Times New Roman" w:hAnsi="Times New Roman" w:eastAsia="宋体"/>
                <w:szCs w:val="21"/>
                <w:lang w:val="en-US" w:eastAsia="zh-CN"/>
              </w:rPr>
            </w:pPr>
            <w:r>
              <w:rPr>
                <w:rFonts w:ascii="Times New Roman" w:hAnsi="Times New Roman"/>
                <w:szCs w:val="21"/>
              </w:rPr>
              <w:t>2</w:t>
            </w:r>
          </w:p>
        </w:tc>
        <w:tc>
          <w:tcPr>
            <w:tcW w:w="3713" w:type="dxa"/>
            <w:noWrap w:val="0"/>
            <w:vAlign w:val="center"/>
          </w:tcPr>
          <w:p w14:paraId="7ABF21C0">
            <w:pPr>
              <w:spacing w:line="240" w:lineRule="auto"/>
              <w:jc w:val="left"/>
              <w:rPr>
                <w:rFonts w:ascii="Times New Roman" w:hAnsi="Times New Roman"/>
                <w:szCs w:val="21"/>
              </w:rPr>
            </w:pPr>
          </w:p>
        </w:tc>
        <w:tc>
          <w:tcPr>
            <w:tcW w:w="1894" w:type="dxa"/>
            <w:noWrap w:val="0"/>
            <w:vAlign w:val="center"/>
          </w:tcPr>
          <w:p w14:paraId="64580371">
            <w:pPr>
              <w:spacing w:line="240" w:lineRule="auto"/>
              <w:jc w:val="left"/>
              <w:rPr>
                <w:rFonts w:ascii="Times New Roman" w:hAnsi="Times New Roman"/>
                <w:szCs w:val="21"/>
              </w:rPr>
            </w:pPr>
          </w:p>
        </w:tc>
        <w:tc>
          <w:tcPr>
            <w:tcW w:w="2866" w:type="dxa"/>
            <w:gridSpan w:val="2"/>
            <w:noWrap w:val="0"/>
            <w:vAlign w:val="center"/>
          </w:tcPr>
          <w:p w14:paraId="197AB0C1">
            <w:pPr>
              <w:spacing w:line="240" w:lineRule="auto"/>
              <w:jc w:val="left"/>
              <w:rPr>
                <w:rFonts w:ascii="Times New Roman" w:hAnsi="Times New Roman"/>
                <w:szCs w:val="21"/>
              </w:rPr>
            </w:pPr>
          </w:p>
        </w:tc>
      </w:tr>
      <w:tr w14:paraId="1C3C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2C0588A">
            <w:pPr>
              <w:spacing w:line="240" w:lineRule="auto"/>
              <w:jc w:val="center"/>
              <w:rPr>
                <w:rFonts w:hint="default" w:ascii="Times New Roman" w:hAnsi="Times New Roman" w:eastAsia="宋体"/>
                <w:szCs w:val="21"/>
                <w:lang w:val="en-US" w:eastAsia="zh-CN"/>
              </w:rPr>
            </w:pPr>
            <w:r>
              <w:rPr>
                <w:rFonts w:ascii="Times New Roman" w:hAnsi="Times New Roman"/>
                <w:szCs w:val="21"/>
              </w:rPr>
              <w:t>3</w:t>
            </w:r>
          </w:p>
        </w:tc>
        <w:tc>
          <w:tcPr>
            <w:tcW w:w="3713" w:type="dxa"/>
            <w:noWrap w:val="0"/>
            <w:vAlign w:val="center"/>
          </w:tcPr>
          <w:p w14:paraId="052DA1CB">
            <w:pPr>
              <w:spacing w:line="240" w:lineRule="auto"/>
              <w:jc w:val="left"/>
              <w:rPr>
                <w:rFonts w:ascii="Times New Roman" w:hAnsi="Times New Roman"/>
                <w:szCs w:val="21"/>
              </w:rPr>
            </w:pPr>
          </w:p>
        </w:tc>
        <w:tc>
          <w:tcPr>
            <w:tcW w:w="1894" w:type="dxa"/>
            <w:noWrap w:val="0"/>
            <w:vAlign w:val="center"/>
          </w:tcPr>
          <w:p w14:paraId="3C365A5A">
            <w:pPr>
              <w:spacing w:line="240" w:lineRule="auto"/>
              <w:jc w:val="left"/>
              <w:rPr>
                <w:rFonts w:ascii="Times New Roman" w:hAnsi="Times New Roman"/>
                <w:szCs w:val="21"/>
              </w:rPr>
            </w:pPr>
          </w:p>
        </w:tc>
        <w:tc>
          <w:tcPr>
            <w:tcW w:w="2866" w:type="dxa"/>
            <w:gridSpan w:val="2"/>
            <w:noWrap w:val="0"/>
            <w:vAlign w:val="center"/>
          </w:tcPr>
          <w:p w14:paraId="0D1F8B1C">
            <w:pPr>
              <w:spacing w:line="240" w:lineRule="auto"/>
              <w:jc w:val="left"/>
              <w:rPr>
                <w:rFonts w:ascii="Times New Roman" w:hAnsi="Times New Roman"/>
                <w:szCs w:val="21"/>
              </w:rPr>
            </w:pPr>
          </w:p>
        </w:tc>
      </w:tr>
    </w:tbl>
    <w:p w14:paraId="63FB9AF6">
      <w:pPr>
        <w:shd w:val="clear" w:color="auto" w:fill="auto"/>
        <w:spacing w:line="360" w:lineRule="auto"/>
        <w:outlineLvl w:val="9"/>
        <w:rPr>
          <w:rFonts w:hint="eastAsia" w:ascii="宋体" w:hAnsi="宋体" w:cs="宋体"/>
          <w:color w:val="000000"/>
          <w:szCs w:val="21"/>
          <w:highlight w:val="none"/>
        </w:rPr>
      </w:pPr>
    </w:p>
    <w:p w14:paraId="51ABF699">
      <w:pPr>
        <w:shd w:val="clear" w:color="auto" w:fill="auto"/>
        <w:spacing w:line="360" w:lineRule="auto"/>
        <w:outlineLvl w:val="9"/>
        <w:rPr>
          <w:rFonts w:hint="eastAsia" w:ascii="宋体" w:hAnsi="宋体" w:cs="宋体"/>
          <w:color w:val="000000"/>
          <w:szCs w:val="21"/>
          <w:highlight w:val="none"/>
        </w:rPr>
      </w:pPr>
    </w:p>
    <w:p w14:paraId="6A18E75E">
      <w:pPr>
        <w:numPr>
          <w:ilvl w:val="0"/>
          <w:numId w:val="0"/>
        </w:numPr>
        <w:shd w:val="clear" w:color="auto" w:fill="auto"/>
        <w:spacing w:before="156" w:after="156" w:line="360" w:lineRule="auto"/>
        <w:ind w:leftChars="0"/>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35C95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设备铭牌照片</w:t>
      </w:r>
    </w:p>
    <w:p w14:paraId="214B5C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若设备铭牌未明确设备使用寿命，则需提供说明书中相关说明，非医疗器械需提供生产厂家对设备使用寿命的说明函。</w:t>
      </w:r>
    </w:p>
    <w:p w14:paraId="5F2032C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p>
    <w:p w14:paraId="7BD19BA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sectPr>
          <w:pgSz w:w="11906" w:h="16838"/>
          <w:pgMar w:top="1270" w:right="1800" w:bottom="1270" w:left="1800" w:header="851" w:footer="992" w:gutter="0"/>
          <w:pgNumType w:fmt="decimal"/>
          <w:cols w:space="1701" w:num="1"/>
          <w:docGrid w:linePitch="360" w:charSpace="0"/>
        </w:sectPr>
      </w:pPr>
    </w:p>
    <w:p w14:paraId="728FD5C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设备说明书</w:t>
      </w:r>
    </w:p>
    <w:p w14:paraId="3C8EB9E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color w:val="000000"/>
          <w:highlight w:val="none"/>
          <w:lang w:val="en-US" w:eastAsia="zh-CN"/>
        </w:rPr>
        <w:t>页码过多的可放部分内容，但必须包括：设备配置情况、设备保养/消毒等内容、设备使用期限相关内容、设备软件版本信息、说明书版本信息，电子标书需提供完整说明书</w:t>
      </w:r>
    </w:p>
    <w:p w14:paraId="45574B8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pPr>
    </w:p>
    <w:p w14:paraId="462D562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C24D65">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项目服务</w:t>
      </w:r>
      <w:r>
        <w:rPr>
          <w:rFonts w:hint="eastAsia" w:ascii="宋体" w:hAnsi="宋体" w:eastAsia="宋体" w:cs="宋体"/>
          <w:b/>
          <w:color w:val="000000"/>
          <w:sz w:val="32"/>
          <w:szCs w:val="32"/>
          <w:highlight w:val="none"/>
          <w:lang w:val="en-US" w:eastAsia="zh-CN" w:bidi="ar-SA"/>
        </w:rPr>
        <w:t>方案</w:t>
      </w:r>
    </w:p>
    <w:p w14:paraId="2369EC1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default" w:ascii="宋体" w:hAnsi="宋体" w:cs="宋体"/>
          <w:b/>
          <w:color w:val="000000"/>
          <w:sz w:val="32"/>
          <w:szCs w:val="32"/>
          <w:highlight w:val="none"/>
          <w:lang w:val="en-US" w:eastAsia="zh-CN" w:bidi="ar-SA"/>
        </w:rPr>
      </w:pPr>
    </w:p>
    <w:p w14:paraId="135F884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49FAE72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6BE19AED">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E99A943">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2C5B8530">
            <w:pPr>
              <w:pStyle w:val="332"/>
              <w:shd w:val="clear" w:color="auto" w:fill="auto"/>
              <w:jc w:val="center"/>
              <w:outlineLvl w:val="9"/>
              <w:rPr>
                <w:color w:val="000000"/>
                <w:szCs w:val="21"/>
                <w:highlight w:val="none"/>
              </w:rPr>
            </w:pPr>
            <w:r>
              <w:rPr>
                <w:rFonts w:hint="eastAsia"/>
                <w:b/>
                <w:bCs/>
                <w:color w:val="000000"/>
                <w:szCs w:val="21"/>
                <w:highlight w:val="none"/>
                <w:lang w:eastAsia="zh-CN"/>
              </w:rPr>
              <w:t>设备</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CAF6B12">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25B992F">
            <w:pPr>
              <w:pStyle w:val="332"/>
              <w:shd w:val="clear" w:color="auto" w:fill="auto"/>
              <w:spacing w:line="272" w:lineRule="exact"/>
              <w:ind w:right="351"/>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设备品牌</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A8A5E5">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设备型号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8647526">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成交日期</w:t>
            </w:r>
          </w:p>
        </w:tc>
      </w:tr>
      <w:tr w14:paraId="29079861">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E2E544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4FCFB0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35DF75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59B109B">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38637E">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7673272">
            <w:pPr>
              <w:shd w:val="clear" w:color="auto" w:fill="auto"/>
              <w:jc w:val="center"/>
              <w:outlineLvl w:val="9"/>
              <w:rPr>
                <w:color w:val="000000"/>
                <w:highlight w:val="none"/>
              </w:rPr>
            </w:pPr>
          </w:p>
        </w:tc>
      </w:tr>
      <w:tr w14:paraId="5960C985">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389A62F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6C7266D">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53C55104">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F0E4D2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1E00DC">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D3195E1">
            <w:pPr>
              <w:shd w:val="clear" w:color="auto" w:fill="auto"/>
              <w:jc w:val="center"/>
              <w:outlineLvl w:val="9"/>
              <w:rPr>
                <w:color w:val="000000"/>
                <w:highlight w:val="none"/>
              </w:rPr>
            </w:pPr>
          </w:p>
        </w:tc>
      </w:tr>
      <w:tr w14:paraId="3C6D3D84">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6EF957E">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4CC135C2">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32AFC0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22E1511">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E1C5EC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EC7472E">
            <w:pPr>
              <w:shd w:val="clear" w:color="auto" w:fill="auto"/>
              <w:jc w:val="center"/>
              <w:outlineLvl w:val="9"/>
              <w:rPr>
                <w:color w:val="000000"/>
                <w:highlight w:val="none"/>
              </w:rPr>
            </w:pPr>
          </w:p>
        </w:tc>
      </w:tr>
      <w:tr w14:paraId="46C80BE5">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AB1597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AB6D25A">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7DC12BC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AB2A7BD">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6EBDE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E0F1B33">
            <w:pPr>
              <w:shd w:val="clear" w:color="auto" w:fill="auto"/>
              <w:jc w:val="center"/>
              <w:outlineLvl w:val="9"/>
              <w:rPr>
                <w:color w:val="000000"/>
                <w:highlight w:val="none"/>
              </w:rPr>
            </w:pPr>
          </w:p>
        </w:tc>
      </w:tr>
      <w:tr w14:paraId="6E8CEC54">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10C81982">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64F076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62B85A39">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569538">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5A2118F">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10770B1">
            <w:pPr>
              <w:shd w:val="clear" w:color="auto" w:fill="auto"/>
              <w:jc w:val="center"/>
              <w:outlineLvl w:val="9"/>
              <w:rPr>
                <w:color w:val="000000"/>
                <w:highlight w:val="none"/>
              </w:rPr>
            </w:pPr>
          </w:p>
        </w:tc>
      </w:tr>
    </w:tbl>
    <w:p w14:paraId="255E3F0F">
      <w:pPr>
        <w:shd w:val="clear" w:color="auto" w:fill="auto"/>
        <w:spacing w:before="1"/>
        <w:outlineLvl w:val="9"/>
        <w:rPr>
          <w:rFonts w:ascii="宋体" w:hAnsi="宋体" w:cs="宋体"/>
          <w:b/>
          <w:bCs/>
          <w:color w:val="000000"/>
          <w:sz w:val="23"/>
          <w:szCs w:val="23"/>
          <w:highlight w:val="none"/>
        </w:rPr>
      </w:pPr>
    </w:p>
    <w:p w14:paraId="15AC8C89">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03175FB5">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68B97C40">
      <w:pPr>
        <w:widowControl/>
        <w:shd w:val="clear" w:color="auto" w:fill="auto"/>
        <w:spacing w:line="360" w:lineRule="auto"/>
        <w:jc w:val="left"/>
        <w:outlineLvl w:val="9"/>
        <w:rPr>
          <w:rFonts w:hint="eastAsia" w:ascii="宋体" w:hAnsi="宋体" w:cs="宋体"/>
          <w:color w:val="000000"/>
          <w:highlight w:val="none"/>
        </w:rPr>
      </w:pPr>
    </w:p>
    <w:p w14:paraId="6B4F1A96">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E87FE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004682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中标通知书或合同</w:t>
      </w:r>
      <w:r>
        <w:rPr>
          <w:rFonts w:hint="eastAsia" w:ascii="宋体" w:hAnsi="宋体" w:cs="宋体"/>
          <w:b/>
          <w:bCs/>
          <w:color w:val="000000"/>
          <w:sz w:val="24"/>
          <w:szCs w:val="24"/>
          <w:highlight w:val="none"/>
          <w:lang w:val="en-US" w:eastAsia="zh-CN"/>
        </w:rPr>
        <w:t>复印件（明确成交标的，内容清晰可见，否者视为无效）</w:t>
      </w:r>
    </w:p>
    <w:p w14:paraId="2320541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具备履行合同所必需的设备和专业技术能力的书面声</w:t>
      </w:r>
      <w:r>
        <w:rPr>
          <w:rFonts w:hint="eastAsia" w:ascii="宋体" w:hAnsi="宋体" w:cs="宋体"/>
          <w:b/>
          <w:color w:val="000000"/>
          <w:sz w:val="32"/>
          <w:szCs w:val="32"/>
          <w:highlight w:val="none"/>
          <w:lang w:val="en-US" w:eastAsia="zh-CN"/>
        </w:rPr>
        <w:t>明</w:t>
      </w:r>
    </w:p>
    <w:p w14:paraId="04AFD986">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我单位郑重声明：我单位具备履行本项采购合同所必需的设备和专业技术能力，为履行本项采购合同我公司具备如下主要设备和主要专业技术能力：</w:t>
      </w:r>
    </w:p>
    <w:p w14:paraId="3F21DC19">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主要设备有：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778ADBB">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主要专业技术能力有：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596C2C2">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54AC6F0A">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 xml:space="preserve">  供应商名称（加盖公章）：</w:t>
      </w:r>
    </w:p>
    <w:p w14:paraId="77DB0FD2">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02FE03BC">
      <w:pPr>
        <w:shd w:val="clear" w:color="auto" w:fill="auto"/>
        <w:spacing w:line="329" w:lineRule="auto"/>
        <w:outlineLvl w:val="9"/>
        <w:rPr>
          <w:rFonts w:hint="eastAsia" w:ascii="宋体" w:hAnsi="宋体" w:cs="宋体"/>
          <w:b/>
          <w:bCs/>
          <w:color w:val="000000"/>
          <w:highlight w:val="none"/>
        </w:rPr>
      </w:pPr>
      <w:r>
        <w:rPr>
          <w:rFonts w:hint="eastAsia" w:ascii="宋体" w:hAnsi="宋体" w:cs="宋体"/>
          <w:b/>
          <w:bCs/>
          <w:color w:val="000000"/>
          <w:highlight w:val="none"/>
        </w:rPr>
        <w:br w:type="page" w:clear="all"/>
      </w:r>
    </w:p>
    <w:p w14:paraId="5B6E273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参加本次采购活动前3年内在经营活动中没有重大违法记</w:t>
      </w:r>
      <w:r>
        <w:rPr>
          <w:rFonts w:hint="eastAsia" w:ascii="宋体" w:hAnsi="宋体" w:cs="宋体"/>
          <w:b/>
          <w:color w:val="000000"/>
          <w:sz w:val="32"/>
          <w:szCs w:val="32"/>
          <w:highlight w:val="none"/>
          <w:lang w:val="en-US" w:eastAsia="zh-CN"/>
        </w:rPr>
        <w:t>录的书面声明</w:t>
      </w:r>
    </w:p>
    <w:p w14:paraId="58223FB7">
      <w:pPr>
        <w:shd w:val="clear" w:color="auto" w:fill="auto"/>
        <w:spacing w:line="360" w:lineRule="auto"/>
        <w:outlineLvl w:val="9"/>
        <w:rPr>
          <w:rFonts w:ascii="宋体" w:hAnsi="宋体" w:cs="宋体"/>
          <w:color w:val="000000"/>
          <w:sz w:val="24"/>
          <w:szCs w:val="24"/>
          <w:highlight w:val="none"/>
        </w:rPr>
      </w:pPr>
    </w:p>
    <w:p w14:paraId="0C933831">
      <w:pPr>
        <w:shd w:val="clear" w:color="auto" w:fill="auto"/>
        <w:spacing w:after="312" w:line="360" w:lineRule="auto"/>
        <w:jc w:val="center"/>
        <w:outlineLvl w:val="9"/>
        <w:rPr>
          <w:rFonts w:ascii="宋体" w:hAnsi="宋体" w:cs="宋体"/>
          <w:b/>
          <w:bCs/>
          <w:color w:val="000000"/>
          <w:sz w:val="24"/>
          <w:szCs w:val="24"/>
          <w:highlight w:val="none"/>
        </w:rPr>
      </w:pPr>
      <w:r>
        <w:rPr>
          <w:rFonts w:hint="eastAsia" w:ascii="宋体" w:hAnsi="宋体" w:cs="宋体"/>
          <w:b/>
          <w:bCs/>
          <w:color w:val="000000"/>
          <w:sz w:val="24"/>
          <w:szCs w:val="24"/>
          <w:highlight w:val="none"/>
        </w:rPr>
        <w:t>声  明</w:t>
      </w:r>
    </w:p>
    <w:p w14:paraId="69DFEA4A">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
          <w:bCs/>
          <w:color w:val="000000"/>
          <w:sz w:val="24"/>
          <w:szCs w:val="24"/>
          <w:highlight w:val="none"/>
        </w:rPr>
        <w:t xml:space="preserve">    </w:t>
      </w:r>
      <w:r>
        <w:rPr>
          <w:rFonts w:hint="eastAsia" w:ascii="宋体" w:hAnsi="宋体" w:cs="宋体"/>
          <w:bCs/>
          <w:color w:val="000000"/>
          <w:sz w:val="24"/>
          <w:szCs w:val="24"/>
          <w:highlight w:val="none"/>
        </w:rPr>
        <w:t>我公司郑重声明：参加本次政府采购活动前 3 年内，我公司在经营活动中没有因违法经营受到刑事处罚或者责令停产停业、吊销许可证或者执照、较大数额罚款等行政处罚。</w:t>
      </w:r>
    </w:p>
    <w:p w14:paraId="0ED27178">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46763AC1">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供应商名称（加盖公章）：</w:t>
      </w:r>
    </w:p>
    <w:p w14:paraId="166A7426">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 xml:space="preserve">                               </w:t>
      </w:r>
    </w:p>
    <w:p w14:paraId="06807E40">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4B347832">
      <w:pPr>
        <w:shd w:val="clear" w:color="auto" w:fill="auto"/>
        <w:spacing w:line="360" w:lineRule="auto"/>
        <w:outlineLvl w:val="9"/>
        <w:rPr>
          <w:rFonts w:ascii="宋体" w:hAnsi="宋体" w:cs="宋体"/>
          <w:bCs/>
          <w:color w:val="000000"/>
          <w:sz w:val="24"/>
          <w:szCs w:val="24"/>
          <w:highlight w:val="none"/>
        </w:rPr>
        <w:sectPr>
          <w:pgSz w:w="11906" w:h="16838"/>
          <w:pgMar w:top="1270" w:right="1800" w:bottom="1270" w:left="1800" w:header="851" w:footer="992" w:gutter="0"/>
          <w:pgNumType w:fmt="decimal"/>
          <w:cols w:space="1701" w:num="1"/>
          <w:docGrid w:linePitch="360" w:charSpace="0"/>
        </w:sectPr>
      </w:pPr>
    </w:p>
    <w:p w14:paraId="4FF4B61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zh-CN" w:eastAsia="zh-CN" w:bidi="ar-SA"/>
        </w:rPr>
      </w:pPr>
      <w:r>
        <w:rPr>
          <w:rFonts w:hint="eastAsia" w:ascii="宋体" w:hAnsi="宋体" w:eastAsia="宋体" w:cs="宋体"/>
          <w:b/>
          <w:color w:val="000000"/>
          <w:sz w:val="32"/>
          <w:szCs w:val="32"/>
          <w:highlight w:val="none"/>
          <w:lang w:val="en-US" w:eastAsia="zh-CN" w:bidi="ar-SA"/>
        </w:rPr>
        <w:t>信用中国</w:t>
      </w:r>
      <w:r>
        <w:rPr>
          <w:rFonts w:hint="eastAsia" w:ascii="宋体" w:hAnsi="宋体" w:cs="宋体"/>
          <w:b/>
          <w:color w:val="000000"/>
          <w:sz w:val="32"/>
          <w:szCs w:val="32"/>
          <w:highlight w:val="none"/>
          <w:lang w:val="en-US" w:eastAsia="zh-CN" w:bidi="ar-SA"/>
        </w:rPr>
        <w:t>报告</w:t>
      </w:r>
    </w:p>
    <w:p w14:paraId="21D24BAD">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highlight w:val="none"/>
        </w:rPr>
        <w:br w:type="page" w:clear="all"/>
      </w:r>
      <w:r>
        <w:rPr>
          <w:rFonts w:hint="eastAsia" w:ascii="宋体" w:hAnsi="宋体" w:eastAsia="宋体" w:cs="宋体"/>
          <w:b/>
          <w:color w:val="000000"/>
          <w:sz w:val="32"/>
          <w:szCs w:val="32"/>
          <w:highlight w:val="none"/>
          <w:lang w:val="en-US" w:eastAsia="zh-CN" w:bidi="ar-SA"/>
        </w:rPr>
        <w:t>磋商响应函</w:t>
      </w:r>
    </w:p>
    <w:p w14:paraId="7FD6BE85">
      <w:pPr>
        <w:pStyle w:val="334"/>
        <w:shd w:val="clear" w:color="auto" w:fill="auto"/>
        <w:spacing w:line="360" w:lineRule="auto"/>
        <w:ind w:firstLine="420"/>
        <w:outlineLvl w:val="9"/>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南京市江宁医院：</w:t>
      </w:r>
    </w:p>
    <w:p w14:paraId="42E64E0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根据贵方的</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号磋商文件，正式授权下述签字人_________ (姓名和职务)代表我方______________（供应商的名称），全权处理本次项目磋商采购的有关事宜。</w:t>
      </w:r>
    </w:p>
    <w:p w14:paraId="54B3DC22">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据此函，__________（签字人）兹宣布同意如下：</w:t>
      </w:r>
    </w:p>
    <w:p w14:paraId="56A04DC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1.按磋商文件规定的各项要求，向买方提供所需服务。</w:t>
      </w:r>
    </w:p>
    <w:p w14:paraId="438925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2.我们已详细审核全部磋商文件及其有效补充文件，我们知道必须放弃提出含糊不清或误解问题的权利。</w:t>
      </w:r>
    </w:p>
    <w:p w14:paraId="37B4AE3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3.我们同意从规定的响应文件接收截止时间起遵循本响应文件，并在规定的磋商有效期期满之前均具有约束力。</w:t>
      </w:r>
    </w:p>
    <w:p w14:paraId="2FECD103">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4.同意向贵方提供贵方可能另外要求的与磋商采购有关的任何证据或资料，并保证我方已提供和将要提供的文件是真实的、准确的。</w:t>
      </w:r>
    </w:p>
    <w:p w14:paraId="3974D26E">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5.一旦我方成交，我方将根据磋商文件的规定，严格履行合同的责任和义务，并保证在磋商文件规定的时间完成项目，交付买方验收、使用。</w:t>
      </w:r>
    </w:p>
    <w:p w14:paraId="17EBBEAA">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.与本磋商采购有关的正式通讯地址为：</w:t>
      </w:r>
    </w:p>
    <w:p w14:paraId="4F43F65C">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地 址：                         邮 编：</w:t>
      </w:r>
    </w:p>
    <w:p w14:paraId="70E0FB7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电 话：                         传 真：</w:t>
      </w:r>
    </w:p>
    <w:p w14:paraId="7B9DAD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供应商开户行：                  账 户： </w:t>
      </w:r>
    </w:p>
    <w:p w14:paraId="4399BEE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法定代表人姓名（签字或盖章）：         联系电话：</w:t>
      </w:r>
    </w:p>
    <w:p w14:paraId="6D180D4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供应商名称（盖CA电子公章）：            </w:t>
      </w:r>
    </w:p>
    <w:p w14:paraId="19DC9AC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日 期：________年____月____日</w:t>
      </w:r>
    </w:p>
    <w:p w14:paraId="48FD5E25">
      <w:pPr>
        <w:pBdr>
          <w:top w:val="none" w:color="000000" w:sz="0" w:space="0"/>
          <w:left w:val="none" w:color="000000" w:sz="0" w:space="0"/>
          <w:bottom w:val="none" w:color="000000" w:sz="0" w:space="0"/>
          <w:right w:val="none" w:color="000000" w:sz="0" w:space="0"/>
        </w:pBdr>
        <w:shd w:val="clear" w:color="auto" w:fill="auto"/>
        <w:spacing w:line="85" w:lineRule="atLeast"/>
        <w:ind w:firstLine="562"/>
        <w:outlineLvl w:val="9"/>
        <w:rPr>
          <w:rFonts w:hint="eastAsia" w:ascii="仿宋" w:hAnsi="仿宋" w:eastAsia="仿宋" w:cs="仿宋"/>
          <w:b/>
          <w:color w:val="000000"/>
          <w:sz w:val="24"/>
          <w:szCs w:val="24"/>
          <w:highlight w:val="none"/>
          <w:u w:val="single"/>
        </w:rPr>
      </w:pPr>
      <w:r>
        <w:rPr>
          <w:rFonts w:hint="eastAsia" w:ascii="宋体" w:hAnsi="宋体" w:cs="宋体"/>
          <w:b/>
          <w:color w:val="000000"/>
          <w:sz w:val="21"/>
          <w:szCs w:val="21"/>
          <w:highlight w:val="none"/>
        </w:rPr>
        <w:br w:type="page" w:clear="all"/>
      </w:r>
    </w:p>
    <w:p w14:paraId="551F4E0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承诺函</w:t>
      </w:r>
    </w:p>
    <w:p w14:paraId="000F7BAA">
      <w:pPr>
        <w:outlineLvl w:val="9"/>
        <w:rPr>
          <w:sz w:val="24"/>
          <w:szCs w:val="24"/>
          <w:highlight w:val="none"/>
        </w:rPr>
      </w:pPr>
    </w:p>
    <w:p w14:paraId="64DDA891">
      <w:pPr>
        <w:outlineLvl w:val="9"/>
        <w:rPr>
          <w:sz w:val="24"/>
          <w:szCs w:val="24"/>
          <w:highlight w:val="none"/>
        </w:rPr>
      </w:pPr>
    </w:p>
    <w:p w14:paraId="6EB71A59">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u w:val="none"/>
          <w:lang w:eastAsia="zh-CN"/>
        </w:rPr>
        <w:t>南京市江宁医院</w:t>
      </w:r>
      <w:r>
        <w:rPr>
          <w:rFonts w:hint="eastAsia" w:ascii="仿宋" w:hAnsi="仿宋" w:eastAsia="仿宋" w:cs="仿宋"/>
          <w:b w:val="0"/>
          <w:bCs w:val="0"/>
          <w:sz w:val="24"/>
          <w:szCs w:val="24"/>
          <w:highlight w:val="none"/>
          <w:u w:val="none"/>
        </w:rPr>
        <w:t>：</w:t>
      </w:r>
    </w:p>
    <w:p w14:paraId="75423F9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根据已收到的项目编号为</w:t>
      </w:r>
      <w:r>
        <w:rPr>
          <w:rFonts w:hint="eastAsia" w:ascii="仿宋" w:hAnsi="仿宋" w:eastAsia="仿宋" w:cs="仿宋"/>
          <w:b w:val="0"/>
          <w:bCs w:val="0"/>
          <w:sz w:val="24"/>
          <w:szCs w:val="24"/>
          <w:highlight w:val="none"/>
          <w:u w:val="single"/>
        </w:rPr>
        <w:t>（项目编号）</w:t>
      </w:r>
      <w:r>
        <w:rPr>
          <w:rFonts w:hint="eastAsia" w:ascii="仿宋" w:hAnsi="仿宋" w:eastAsia="仿宋" w:cs="仿宋"/>
          <w:b w:val="0"/>
          <w:bCs w:val="0"/>
          <w:sz w:val="24"/>
          <w:szCs w:val="24"/>
          <w:highlight w:val="none"/>
          <w:u w:val="none"/>
        </w:rPr>
        <w:t>的</w:t>
      </w:r>
      <w:r>
        <w:rPr>
          <w:rFonts w:hint="eastAsia" w:ascii="仿宋" w:hAnsi="仿宋" w:eastAsia="仿宋" w:cs="仿宋"/>
          <w:b w:val="0"/>
          <w:bCs w:val="0"/>
          <w:sz w:val="24"/>
          <w:szCs w:val="24"/>
          <w:highlight w:val="none"/>
          <w:u w:val="single"/>
        </w:rPr>
        <w:t>（项目名称）</w:t>
      </w:r>
      <w:r>
        <w:rPr>
          <w:rFonts w:hint="eastAsia" w:ascii="仿宋" w:hAnsi="仿宋" w:eastAsia="仿宋" w:cs="仿宋"/>
          <w:b w:val="0"/>
          <w:bCs w:val="0"/>
          <w:sz w:val="24"/>
          <w:szCs w:val="24"/>
          <w:highlight w:val="none"/>
        </w:rPr>
        <w:t>的招标文件，我方在参加本项目招投标活动中，特作出如下承诺：</w:t>
      </w:r>
    </w:p>
    <w:p w14:paraId="6EF362E1">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本单位与其他参与本项目采购活动的供应商之间，不存在单位负责人为同一人的情况，也不存在直接控股、管理关系。</w:t>
      </w:r>
    </w:p>
    <w:p w14:paraId="403E31E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2.</w:t>
      </w:r>
      <w:r>
        <w:rPr>
          <w:rFonts w:hint="eastAsia" w:ascii="仿宋" w:hAnsi="仿宋" w:eastAsia="仿宋" w:cs="仿宋"/>
          <w:b w:val="0"/>
          <w:bCs w:val="0"/>
          <w:sz w:val="24"/>
          <w:szCs w:val="24"/>
          <w:highlight w:val="none"/>
        </w:rPr>
        <w:t>除本项目为单一来源采购项目的情况外，本单位未为本采购项目提供整体设计、规范编制或者项目管理、监理、检测等服务，且不会在本项目中参与上述服务之外的其他采购活动。</w:t>
      </w:r>
    </w:p>
    <w:p w14:paraId="1F8C9238">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 </w:t>
      </w:r>
    </w:p>
    <w:p w14:paraId="147DD759">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本单位承诺以上内容真实有效，若经查实存在虚假陈述，愿意承担由此产生的一切法律责任和后果，包括但不限于取消参与资格、中标（成交）无效等。</w:t>
      </w:r>
    </w:p>
    <w:p w14:paraId="7ED5F708">
      <w:pPr>
        <w:pStyle w:val="364"/>
        <w:spacing w:line="360" w:lineRule="auto"/>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 xml:space="preserve"> </w:t>
      </w:r>
    </w:p>
    <w:p w14:paraId="75A125E8">
      <w:pPr>
        <w:pStyle w:val="365"/>
        <w:spacing w:line="360" w:lineRule="auto"/>
        <w:ind w:firstLine="480"/>
        <w:jc w:val="left"/>
        <w:outlineLvl w:val="9"/>
        <w:rPr>
          <w:rFonts w:hint="eastAsia" w:ascii="仿宋" w:hAnsi="仿宋" w:eastAsia="仿宋" w:cs="仿宋"/>
          <w:color w:val="auto"/>
          <w:sz w:val="24"/>
          <w:szCs w:val="24"/>
          <w:highlight w:val="none"/>
          <w:lang w:eastAsia="zh-CN"/>
        </w:rPr>
      </w:pPr>
    </w:p>
    <w:p w14:paraId="60205E23">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eastAsia="zh-CN"/>
        </w:rPr>
        <w:t>供应商</w:t>
      </w:r>
      <w:r>
        <w:rPr>
          <w:rFonts w:hint="eastAsia" w:ascii="仿宋" w:hAnsi="仿宋" w:eastAsia="仿宋" w:cs="仿宋"/>
          <w:b w:val="0"/>
          <w:bCs/>
          <w:color w:val="auto"/>
          <w:sz w:val="24"/>
          <w:szCs w:val="24"/>
          <w:highlight w:val="none"/>
        </w:rPr>
        <w:t xml:space="preserve">名称： </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b w:val="0"/>
          <w:bCs/>
          <w:color w:val="000000"/>
          <w:sz w:val="24"/>
          <w:szCs w:val="24"/>
          <w:highlight w:val="none"/>
        </w:rPr>
        <w:t>（盖公章）</w:t>
      </w:r>
    </w:p>
    <w:p w14:paraId="0FAE08D4">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日期：    年    月   日</w:t>
      </w:r>
    </w:p>
    <w:p w14:paraId="106850B2">
      <w:pPr>
        <w:outlineLvl w:val="9"/>
        <w:rPr>
          <w:rFonts w:hint="eastAsia" w:ascii="仿宋" w:hAnsi="仿宋" w:eastAsia="仿宋" w:cs="仿宋"/>
          <w:bCs/>
          <w:sz w:val="24"/>
          <w:szCs w:val="24"/>
          <w:highlight w:val="none"/>
        </w:rPr>
      </w:pPr>
    </w:p>
    <w:p w14:paraId="45ED67B3">
      <w:pPr>
        <w:outlineLvl w:val="9"/>
        <w:rPr>
          <w:highlight w:val="none"/>
        </w:rPr>
      </w:pPr>
    </w:p>
    <w:p w14:paraId="3A72E68C">
      <w:pPr>
        <w:outlineLvl w:val="9"/>
        <w:rPr>
          <w:highlight w:val="none"/>
        </w:rPr>
      </w:pPr>
    </w:p>
    <w:p w14:paraId="1F7718BA">
      <w:pPr>
        <w:outlineLvl w:val="9"/>
        <w:rPr>
          <w:highlight w:val="none"/>
        </w:rPr>
      </w:pPr>
    </w:p>
    <w:p w14:paraId="116C1DA2">
      <w:pPr>
        <w:outlineLvl w:val="9"/>
        <w:rPr>
          <w:highlight w:val="none"/>
        </w:rPr>
      </w:pPr>
    </w:p>
    <w:p w14:paraId="5E037830">
      <w:pPr>
        <w:outlineLvl w:val="9"/>
        <w:rPr>
          <w:highlight w:val="none"/>
        </w:rPr>
      </w:pPr>
    </w:p>
    <w:p w14:paraId="0C44074B">
      <w:pPr>
        <w:outlineLvl w:val="9"/>
        <w:rPr>
          <w:highlight w:val="none"/>
        </w:rPr>
      </w:pPr>
    </w:p>
    <w:p w14:paraId="06ED2BDD">
      <w:pPr>
        <w:outlineLvl w:val="9"/>
        <w:rPr>
          <w:highlight w:val="none"/>
        </w:rPr>
      </w:pPr>
    </w:p>
    <w:p w14:paraId="12F99B0B">
      <w:pPr>
        <w:outlineLvl w:val="9"/>
        <w:rPr>
          <w:highlight w:val="none"/>
        </w:rPr>
      </w:pPr>
    </w:p>
    <w:p w14:paraId="6419F673">
      <w:pPr>
        <w:outlineLvl w:val="9"/>
        <w:rPr>
          <w:highlight w:val="none"/>
        </w:rPr>
      </w:pPr>
    </w:p>
    <w:p w14:paraId="79622C86">
      <w:pPr>
        <w:outlineLvl w:val="9"/>
        <w:rPr>
          <w:highlight w:val="none"/>
        </w:rPr>
      </w:pPr>
    </w:p>
    <w:p w14:paraId="0A17A4A2">
      <w:pPr>
        <w:outlineLvl w:val="9"/>
        <w:rPr>
          <w:highlight w:val="none"/>
        </w:rPr>
      </w:pPr>
    </w:p>
    <w:p w14:paraId="12CFBEAB">
      <w:pPr>
        <w:outlineLvl w:val="9"/>
        <w:rPr>
          <w:highlight w:val="none"/>
        </w:rPr>
      </w:pPr>
    </w:p>
    <w:p w14:paraId="37C1EE93">
      <w:pPr>
        <w:outlineLvl w:val="9"/>
        <w:rPr>
          <w:highlight w:val="none"/>
        </w:rPr>
      </w:pPr>
    </w:p>
    <w:p w14:paraId="1E247BBF">
      <w:pPr>
        <w:outlineLvl w:val="9"/>
        <w:rPr>
          <w:highlight w:val="none"/>
        </w:rPr>
      </w:pPr>
    </w:p>
    <w:p w14:paraId="79714E66">
      <w:pPr>
        <w:outlineLvl w:val="9"/>
        <w:rPr>
          <w:highlight w:val="none"/>
        </w:rPr>
      </w:pPr>
    </w:p>
    <w:p w14:paraId="47804F09">
      <w:pPr>
        <w:outlineLvl w:val="9"/>
        <w:rPr>
          <w:highlight w:val="none"/>
        </w:rPr>
      </w:pPr>
    </w:p>
    <w:p w14:paraId="1D4C4AF8">
      <w:pPr>
        <w:outlineLvl w:val="9"/>
        <w:rPr>
          <w:highlight w:val="none"/>
        </w:rPr>
      </w:pPr>
    </w:p>
    <w:p w14:paraId="1649F27D">
      <w:pPr>
        <w:outlineLvl w:val="9"/>
        <w:rPr>
          <w:highlight w:val="none"/>
        </w:rPr>
      </w:pPr>
    </w:p>
    <w:p w14:paraId="6CEA7A57">
      <w:pPr>
        <w:outlineLvl w:val="9"/>
        <w:rPr>
          <w:highlight w:val="none"/>
        </w:rPr>
      </w:pPr>
    </w:p>
    <w:p w14:paraId="3EFE3EAC">
      <w:pPr>
        <w:rPr>
          <w:sz w:val="24"/>
          <w:szCs w:val="24"/>
          <w:highlight w:val="none"/>
        </w:rPr>
      </w:pPr>
      <w:r>
        <w:rPr>
          <w:sz w:val="24"/>
          <w:szCs w:val="24"/>
          <w:highlight w:val="none"/>
        </w:rPr>
        <w:br w:type="page"/>
      </w:r>
    </w:p>
    <w:p w14:paraId="3842EEC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南京市政府采购供应商信用记录表暨信用承诺书</w:t>
      </w:r>
    </w:p>
    <w:p w14:paraId="2D7DE2CC">
      <w:pPr>
        <w:autoSpaceDE w:val="0"/>
        <w:autoSpaceDN w:val="0"/>
        <w:adjustRightInd w:val="0"/>
        <w:jc w:val="center"/>
        <w:rPr>
          <w:rFonts w:ascii="Times New Roman" w:hAnsi="Times New Roman"/>
          <w:color w:val="000000"/>
          <w:sz w:val="36"/>
        </w:rPr>
      </w:pPr>
      <w:r>
        <w:rPr>
          <w:rFonts w:ascii="Times New Roman" w:hAnsi="Times New Roman" w:eastAsia="方正小标宋简体"/>
          <w:color w:val="000000"/>
          <w:sz w:val="36"/>
        </w:rPr>
        <w:t>南京市政府采购供应商信用记录表暨信用承诺书</w:t>
      </w:r>
    </w:p>
    <w:p w14:paraId="0E98519C">
      <w:pPr>
        <w:spacing w:before="156" w:beforeLines="50"/>
        <w:jc w:val="right"/>
        <w:rPr>
          <w:rFonts w:ascii="Times New Roman" w:hAnsi="Times New Roman"/>
          <w:sz w:val="24"/>
          <w:szCs w:val="32"/>
        </w:rPr>
      </w:pPr>
      <w:r>
        <w:rPr>
          <w:rFonts w:ascii="Times New Roman" w:hAnsi="Times New Roman" w:eastAsia="方正仿宋简体"/>
          <w:sz w:val="24"/>
          <w:szCs w:val="32"/>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7831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1152EE2F">
            <w:pPr>
              <w:rPr>
                <w:rFonts w:ascii="Times New Roman" w:hAnsi="Times New Roman" w:eastAsia="方正仿宋简体"/>
                <w:b/>
                <w:bCs/>
              </w:rPr>
            </w:pPr>
            <w:r>
              <w:rPr>
                <w:rFonts w:ascii="Times New Roman" w:hAnsi="Times New Roman" w:eastAsia="方正仿宋简体"/>
                <w:b/>
                <w:bCs/>
                <w:color w:val="000000"/>
                <w:spacing w:val="1"/>
                <w:sz w:val="22"/>
              </w:rPr>
              <w:t>单位名称</w:t>
            </w:r>
          </w:p>
        </w:tc>
        <w:tc>
          <w:tcPr>
            <w:tcW w:w="2205" w:type="dxa"/>
            <w:noWrap w:val="0"/>
            <w:vAlign w:val="center"/>
          </w:tcPr>
          <w:p w14:paraId="2031D6C9">
            <w:pPr>
              <w:rPr>
                <w:rFonts w:ascii="Times New Roman" w:hAnsi="Times New Roman" w:eastAsia="方正仿宋简体"/>
              </w:rPr>
            </w:pPr>
          </w:p>
        </w:tc>
        <w:tc>
          <w:tcPr>
            <w:tcW w:w="2145" w:type="dxa"/>
            <w:noWrap w:val="0"/>
            <w:vAlign w:val="center"/>
          </w:tcPr>
          <w:p w14:paraId="3EEE2430">
            <w:pPr>
              <w:rPr>
                <w:rFonts w:ascii="Times New Roman" w:hAnsi="Times New Roman" w:eastAsia="方正仿宋简体"/>
                <w:b/>
                <w:bCs/>
              </w:rPr>
            </w:pPr>
            <w:r>
              <w:rPr>
                <w:rFonts w:ascii="Times New Roman" w:hAnsi="Times New Roman" w:eastAsia="方正仿宋简体"/>
                <w:b/>
                <w:bCs/>
                <w:color w:val="000000"/>
                <w:spacing w:val="1"/>
                <w:sz w:val="22"/>
              </w:rPr>
              <w:t>统一社会信用代码</w:t>
            </w:r>
          </w:p>
        </w:tc>
        <w:tc>
          <w:tcPr>
            <w:tcW w:w="2430" w:type="dxa"/>
            <w:noWrap w:val="0"/>
            <w:vAlign w:val="center"/>
          </w:tcPr>
          <w:p w14:paraId="5D187868">
            <w:pPr>
              <w:rPr>
                <w:rFonts w:ascii="Times New Roman" w:hAnsi="Times New Roman" w:eastAsia="方正仿宋简体"/>
              </w:rPr>
            </w:pPr>
          </w:p>
        </w:tc>
      </w:tr>
      <w:tr w14:paraId="2829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2B5C67A">
            <w:pPr>
              <w:rPr>
                <w:rFonts w:ascii="Times New Roman" w:hAnsi="Times New Roman" w:eastAsia="方正仿宋简体"/>
                <w:b/>
                <w:bCs/>
              </w:rPr>
            </w:pPr>
            <w:r>
              <w:rPr>
                <w:rFonts w:ascii="Times New Roman" w:hAnsi="Times New Roman" w:eastAsia="方正仿宋简体"/>
                <w:b/>
                <w:bCs/>
                <w:color w:val="000000"/>
                <w:spacing w:val="1"/>
                <w:sz w:val="22"/>
              </w:rPr>
              <w:t>法定代表人</w:t>
            </w:r>
          </w:p>
        </w:tc>
        <w:tc>
          <w:tcPr>
            <w:tcW w:w="2205" w:type="dxa"/>
            <w:noWrap w:val="0"/>
            <w:vAlign w:val="center"/>
          </w:tcPr>
          <w:p w14:paraId="72BB9135">
            <w:pPr>
              <w:rPr>
                <w:rFonts w:ascii="Times New Roman" w:hAnsi="Times New Roman" w:eastAsia="方正仿宋简体"/>
              </w:rPr>
            </w:pPr>
          </w:p>
        </w:tc>
        <w:tc>
          <w:tcPr>
            <w:tcW w:w="2145" w:type="dxa"/>
            <w:noWrap w:val="0"/>
            <w:vAlign w:val="center"/>
          </w:tcPr>
          <w:p w14:paraId="03C36EAB">
            <w:pPr>
              <w:rPr>
                <w:rFonts w:ascii="Times New Roman" w:hAnsi="Times New Roman" w:eastAsia="方正仿宋简体"/>
                <w:b/>
                <w:bCs/>
              </w:rPr>
            </w:pPr>
            <w:r>
              <w:rPr>
                <w:rFonts w:ascii="Times New Roman" w:hAnsi="Times New Roman" w:eastAsia="方正仿宋简体"/>
                <w:b/>
                <w:bCs/>
                <w:color w:val="000000"/>
                <w:spacing w:val="1"/>
                <w:sz w:val="22"/>
              </w:rPr>
              <w:t>联系人</w:t>
            </w:r>
          </w:p>
        </w:tc>
        <w:tc>
          <w:tcPr>
            <w:tcW w:w="2430" w:type="dxa"/>
            <w:noWrap w:val="0"/>
            <w:vAlign w:val="center"/>
          </w:tcPr>
          <w:p w14:paraId="6B2C2651">
            <w:pPr>
              <w:rPr>
                <w:rFonts w:ascii="Times New Roman" w:hAnsi="Times New Roman" w:eastAsia="方正仿宋简体"/>
              </w:rPr>
            </w:pPr>
          </w:p>
        </w:tc>
      </w:tr>
      <w:tr w14:paraId="6A73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30A87B35">
            <w:pPr>
              <w:rPr>
                <w:rFonts w:ascii="Times New Roman" w:hAnsi="Times New Roman" w:eastAsia="方正仿宋简体"/>
                <w:b/>
                <w:bCs/>
              </w:rPr>
            </w:pPr>
            <w:r>
              <w:rPr>
                <w:rFonts w:ascii="Times New Roman" w:hAnsi="Times New Roman" w:eastAsia="方正仿宋简体"/>
                <w:b/>
                <w:bCs/>
                <w:color w:val="000000"/>
                <w:spacing w:val="1"/>
                <w:sz w:val="22"/>
              </w:rPr>
              <w:t>联系地址</w:t>
            </w:r>
          </w:p>
        </w:tc>
        <w:tc>
          <w:tcPr>
            <w:tcW w:w="2205" w:type="dxa"/>
            <w:noWrap w:val="0"/>
            <w:vAlign w:val="center"/>
          </w:tcPr>
          <w:p w14:paraId="15655DCA">
            <w:pPr>
              <w:rPr>
                <w:rFonts w:ascii="Times New Roman" w:hAnsi="Times New Roman" w:eastAsia="方正仿宋简体"/>
              </w:rPr>
            </w:pPr>
          </w:p>
        </w:tc>
        <w:tc>
          <w:tcPr>
            <w:tcW w:w="2145" w:type="dxa"/>
            <w:noWrap w:val="0"/>
            <w:vAlign w:val="center"/>
          </w:tcPr>
          <w:p w14:paraId="74F0EE96">
            <w:pPr>
              <w:rPr>
                <w:rFonts w:ascii="Times New Roman" w:hAnsi="Times New Roman" w:eastAsia="方正仿宋简体"/>
                <w:b/>
                <w:bCs/>
              </w:rPr>
            </w:pPr>
            <w:r>
              <w:rPr>
                <w:rFonts w:ascii="Times New Roman" w:hAnsi="Times New Roman" w:eastAsia="方正仿宋简体"/>
                <w:b/>
                <w:bCs/>
                <w:color w:val="000000"/>
                <w:spacing w:val="1"/>
                <w:sz w:val="22"/>
              </w:rPr>
              <w:t>联系电话</w:t>
            </w:r>
          </w:p>
        </w:tc>
        <w:tc>
          <w:tcPr>
            <w:tcW w:w="2430" w:type="dxa"/>
            <w:noWrap w:val="0"/>
            <w:vAlign w:val="center"/>
          </w:tcPr>
          <w:p w14:paraId="53F3E823">
            <w:pPr>
              <w:rPr>
                <w:rFonts w:ascii="Times New Roman" w:hAnsi="Times New Roman" w:eastAsia="方正仿宋简体"/>
              </w:rPr>
            </w:pPr>
          </w:p>
        </w:tc>
      </w:tr>
      <w:tr w14:paraId="20F1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2214" w:type="dxa"/>
            <w:noWrap w:val="0"/>
            <w:vAlign w:val="center"/>
          </w:tcPr>
          <w:p w14:paraId="000B71BD">
            <w:pPr>
              <w:rPr>
                <w:rFonts w:ascii="Times New Roman" w:hAnsi="Times New Roman" w:eastAsia="方正仿宋简体"/>
                <w:b/>
                <w:bCs/>
              </w:rPr>
            </w:pPr>
            <w:r>
              <w:rPr>
                <w:rFonts w:ascii="Times New Roman" w:hAnsi="Times New Roman" w:eastAsia="方正仿宋简体"/>
                <w:b/>
                <w:bCs/>
                <w:color w:val="000000"/>
                <w:spacing w:val="1"/>
                <w:sz w:val="22"/>
              </w:rPr>
              <w:t>诚信档案记录情况</w:t>
            </w:r>
          </w:p>
        </w:tc>
        <w:tc>
          <w:tcPr>
            <w:tcW w:w="6780" w:type="dxa"/>
            <w:gridSpan w:val="3"/>
            <w:noWrap w:val="0"/>
            <w:vAlign w:val="top"/>
          </w:tcPr>
          <w:p w14:paraId="461F793A">
            <w:pPr>
              <w:rPr>
                <w:rFonts w:ascii="Times New Roman" w:hAnsi="Times New Roman" w:eastAsia="方正仿宋简体"/>
              </w:rPr>
            </w:pPr>
          </w:p>
        </w:tc>
      </w:tr>
      <w:tr w14:paraId="23D2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66FE69DE">
            <w:pPr>
              <w:jc w:val="center"/>
              <w:rPr>
                <w:rFonts w:ascii="Times New Roman" w:hAnsi="Times New Roman" w:eastAsia="方正仿宋简体"/>
              </w:rPr>
            </w:pPr>
            <w:r>
              <w:rPr>
                <w:rFonts w:ascii="Times New Roman" w:hAnsi="Times New Roman" w:eastAsia="方正仿宋简体"/>
                <w:b/>
                <w:bCs/>
                <w:color w:val="000000"/>
                <w:spacing w:val="1"/>
                <w:sz w:val="22"/>
              </w:rPr>
              <w:t>信用承诺</w:t>
            </w:r>
          </w:p>
        </w:tc>
        <w:tc>
          <w:tcPr>
            <w:tcW w:w="6780" w:type="dxa"/>
            <w:gridSpan w:val="3"/>
            <w:noWrap w:val="0"/>
            <w:vAlign w:val="top"/>
          </w:tcPr>
          <w:p w14:paraId="273603C4">
            <w:pPr>
              <w:spacing w:line="360" w:lineRule="exact"/>
              <w:ind w:firstLine="404" w:firstLineChars="200"/>
              <w:jc w:val="left"/>
              <w:rPr>
                <w:rFonts w:ascii="Times New Roman" w:hAnsi="Times New Roman" w:eastAsia="方正仿宋简体"/>
                <w:color w:val="000000"/>
                <w:spacing w:val="-4"/>
              </w:rPr>
            </w:pPr>
          </w:p>
          <w:p w14:paraId="480563A1">
            <w:pPr>
              <w:spacing w:line="360" w:lineRule="exact"/>
              <w:ind w:firstLine="404" w:firstLineChars="200"/>
              <w:jc w:val="left"/>
              <w:rPr>
                <w:rFonts w:ascii="Times New Roman" w:hAnsi="Times New Roman" w:eastAsia="方正仿宋简体"/>
                <w:color w:val="000000"/>
              </w:rPr>
            </w:pPr>
            <w:r>
              <w:rPr>
                <w:rFonts w:ascii="Times New Roman" w:hAnsi="Times New Roman" w:eastAsia="方正仿宋简体"/>
                <w:color w:val="000000"/>
                <w:spacing w:val="-4"/>
              </w:rPr>
              <w:t>我公司自愿参加贵中心（公司）组织的本次采购活动，严格遵守《中</w:t>
            </w:r>
            <w:r>
              <w:rPr>
                <w:rFonts w:ascii="Times New Roman" w:hAnsi="Times New Roman" w:eastAsia="方正仿宋简体"/>
                <w:color w:val="000000"/>
                <w:spacing w:val="-2"/>
              </w:rPr>
              <w:t>华人民</w:t>
            </w:r>
            <w:r>
              <w:rPr>
                <w:rFonts w:hint="eastAsia" w:ascii="Times New Roman" w:hAnsi="Times New Roman" w:eastAsia="方正仿宋简体"/>
                <w:color w:val="000000"/>
                <w:spacing w:val="-2"/>
                <w:lang w:eastAsia="zh-CN"/>
              </w:rPr>
              <w:t>共和国</w:t>
            </w:r>
            <w:r>
              <w:rPr>
                <w:rFonts w:ascii="Times New Roman" w:hAnsi="Times New Roman" w:eastAsia="方正仿宋简体"/>
                <w:color w:val="000000"/>
                <w:spacing w:val="-2"/>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rPr>
              <w:t>有独立承担民事责任的能力；具有良好的商业信誉和健全的财务会计制</w:t>
            </w:r>
            <w:r>
              <w:rPr>
                <w:rFonts w:ascii="Times New Roman" w:hAnsi="Times New Roman" w:eastAsia="方正仿宋简体"/>
                <w:color w:val="000000"/>
                <w:spacing w:val="-2"/>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rPr>
              <w:t>门和有权机关的审查和处罚。</w:t>
            </w:r>
          </w:p>
          <w:p w14:paraId="36EECF4C">
            <w:pPr>
              <w:spacing w:line="360" w:lineRule="exact"/>
              <w:jc w:val="left"/>
              <w:rPr>
                <w:rFonts w:ascii="Times New Roman" w:hAnsi="Times New Roman" w:eastAsia="方正仿宋简体"/>
                <w:color w:val="000000"/>
              </w:rPr>
            </w:pPr>
          </w:p>
          <w:p w14:paraId="756E359D">
            <w:pPr>
              <w:spacing w:line="360" w:lineRule="exact"/>
              <w:jc w:val="left"/>
              <w:rPr>
                <w:rFonts w:ascii="Times New Roman" w:hAnsi="Times New Roman" w:eastAsia="方正仿宋简体"/>
                <w:color w:val="000000"/>
              </w:rPr>
            </w:pPr>
          </w:p>
          <w:p w14:paraId="72EE40D5">
            <w:pPr>
              <w:spacing w:line="360" w:lineRule="exact"/>
              <w:jc w:val="left"/>
              <w:rPr>
                <w:rFonts w:ascii="Times New Roman" w:hAnsi="Times New Roman" w:eastAsia="方正仿宋简体"/>
                <w:color w:val="000000"/>
              </w:rPr>
            </w:pPr>
          </w:p>
          <w:p w14:paraId="6A69A803">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供应商名称（盖章）：                   </w:t>
            </w:r>
          </w:p>
          <w:p w14:paraId="61D08FC6">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法定代表人（签字）：                   </w:t>
            </w:r>
          </w:p>
          <w:p w14:paraId="68350DD3">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spacing w:val="2"/>
              </w:rPr>
              <w:t>二</w:t>
            </w:r>
            <w:r>
              <w:rPr>
                <w:rFonts w:ascii="Times New Roman" w:hAnsi="Times New Roman" w:eastAsia="方正仿宋简体"/>
                <w:color w:val="000000"/>
              </w:rPr>
              <w:t xml:space="preserve">〇   年   月   日                   </w:t>
            </w:r>
          </w:p>
        </w:tc>
      </w:tr>
    </w:tbl>
    <w:p w14:paraId="1FD8555E">
      <w:pPr>
        <w:outlineLvl w:val="9"/>
        <w:rPr>
          <w:sz w:val="24"/>
          <w:szCs w:val="24"/>
          <w:highlight w:val="none"/>
        </w:rPr>
      </w:pPr>
      <w:r>
        <w:rPr>
          <w:sz w:val="24"/>
          <w:szCs w:val="24"/>
          <w:highlight w:val="none"/>
        </w:rPr>
        <w:br w:type="page"/>
      </w:r>
    </w:p>
    <w:p w14:paraId="00066489">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w:t>
      </w:r>
      <w:r>
        <w:rPr>
          <w:rFonts w:hint="default" w:ascii="宋体" w:hAnsi="宋体" w:eastAsia="宋体" w:cs="宋体"/>
          <w:b/>
          <w:color w:val="000000"/>
          <w:sz w:val="32"/>
          <w:szCs w:val="32"/>
          <w:highlight w:val="none"/>
          <w:lang w:val="en-US" w:eastAsia="zh-CN" w:bidi="ar-SA"/>
        </w:rPr>
        <w:t>材料真实性及购销廉洁声明</w:t>
      </w:r>
    </w:p>
    <w:p w14:paraId="3F0FFCBC">
      <w:pPr>
        <w:autoSpaceDE w:val="0"/>
        <w:autoSpaceDN w:val="0"/>
        <w:adjustRightInd w:val="0"/>
        <w:jc w:val="center"/>
        <w:outlineLvl w:val="9"/>
        <w:rPr>
          <w:rFonts w:hint="eastAsia" w:ascii="Times New Roman" w:hAnsi="Times New Roman" w:eastAsia="方正小标宋简体"/>
          <w:color w:val="000000"/>
          <w:kern w:val="2"/>
          <w:sz w:val="36"/>
        </w:rPr>
      </w:pPr>
      <w:r>
        <w:rPr>
          <w:rFonts w:hint="eastAsia" w:ascii="Times New Roman" w:hAnsi="Times New Roman" w:eastAsia="方正小标宋简体"/>
          <w:color w:val="000000"/>
          <w:kern w:val="2"/>
          <w:sz w:val="36"/>
        </w:rPr>
        <w:t>承诺书</w:t>
      </w:r>
    </w:p>
    <w:p w14:paraId="34B43DC5">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南京市江宁医院：</w:t>
      </w:r>
    </w:p>
    <w:p w14:paraId="02012FF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针对贵院此次</w:t>
      </w:r>
      <w:r>
        <w:rPr>
          <w:rFonts w:hint="eastAsia" w:ascii="Times New Roman" w:hAnsi="Times New Roman" w:eastAsia="方正仿宋简体" w:cs="Times New Roman"/>
          <w:kern w:val="2"/>
          <w:sz w:val="24"/>
          <w:szCs w:val="24"/>
          <w:lang w:val="en-US" w:eastAsia="zh-CN" w:bidi="ar-SA"/>
        </w:rPr>
        <w:t>论证</w:t>
      </w:r>
      <w:r>
        <w:rPr>
          <w:rFonts w:hint="default" w:ascii="Times New Roman" w:hAnsi="Times New Roman" w:eastAsia="方正仿宋简体" w:cs="Times New Roman"/>
          <w:kern w:val="2"/>
          <w:sz w:val="24"/>
          <w:szCs w:val="24"/>
          <w:lang w:val="en-US" w:eastAsia="zh-CN" w:bidi="ar-SA"/>
        </w:rPr>
        <w:t>，我公司郑重承诺：所提供资料（以骑缝章为准）真实有效，无任何虚假成分。如有虚假，由此产生的一切后果由本公司承担。</w:t>
      </w:r>
    </w:p>
    <w:p w14:paraId="03878CB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为进一步加强医疗卫生行风建设，规范医疗卫生机构医药销售行为，有效防范商业贿赂行为，营造公平交易、诚实守信的购销环境，我公司郑重承诺并遵守：</w:t>
      </w:r>
    </w:p>
    <w:p w14:paraId="721450F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一、我方按照《民法典》及本承诺购销各类物资及服务。</w:t>
      </w:r>
    </w:p>
    <w:p w14:paraId="28110C5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二、我方不以回扣、宴请等方式影响医院工作人员采购或使用产品的选择权，不在学术活动中提供旅游、超标准支付食宿等费用。</w:t>
      </w:r>
    </w:p>
    <w:p w14:paraId="20EC716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33126FE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045BC8B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五、本承诺作为产品购销合同的重要组成部分，与购销合同一并执行，具有同等法律效力。</w:t>
      </w:r>
    </w:p>
    <w:p w14:paraId="3E9F141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2F0FA26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11C4A09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3CD9C206">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公司（签章）</w:t>
      </w:r>
      <w:r>
        <w:rPr>
          <w:rFonts w:hint="eastAsia" w:ascii="Times New Roman" w:hAnsi="Times New Roman" w:eastAsia="方正仿宋简体" w:cs="Times New Roman"/>
          <w:kern w:val="2"/>
          <w:sz w:val="24"/>
          <w:szCs w:val="24"/>
          <w:lang w:val="en-US" w:eastAsia="zh-CN" w:bidi="ar-SA"/>
        </w:rPr>
        <w:t xml:space="preserve">：             </w:t>
      </w:r>
    </w:p>
    <w:p w14:paraId="35F0CEE3">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Times New Roman" w:hAnsi="Times New Roman" w:eastAsia="方正仿宋简体" w:cs="Times New Roman"/>
          <w:kern w:val="2"/>
          <w:sz w:val="24"/>
          <w:szCs w:val="24"/>
          <w:lang w:val="en-US" w:eastAsia="zh-CN" w:bidi="ar-SA"/>
        </w:rPr>
      </w:pP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年 </w:t>
      </w: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 月 </w:t>
      </w:r>
      <w:r>
        <w:rPr>
          <w:rFonts w:hint="eastAsia" w:ascii="Times New Roman" w:hAnsi="Times New Roman" w:eastAsia="方正仿宋简体" w:cs="Times New Roman"/>
          <w:kern w:val="2"/>
          <w:sz w:val="24"/>
          <w:szCs w:val="24"/>
          <w:lang w:val="en-US" w:eastAsia="zh-CN" w:bidi="ar-SA"/>
        </w:rPr>
        <w:t xml:space="preserve">  日</w:t>
      </w:r>
    </w:p>
    <w:p w14:paraId="71D7C26A">
      <w:pPr>
        <w:widowControl/>
        <w:jc w:val="both"/>
        <w:outlineLvl w:val="9"/>
        <w:rPr>
          <w:rFonts w:hint="eastAsia" w:ascii="Calibri" w:hAnsi="Calibri"/>
          <w:kern w:val="2"/>
          <w:lang w:eastAsia="zh-CN"/>
        </w:rPr>
        <w:sectPr>
          <w:footerReference r:id="rId5" w:type="default"/>
          <w:pgSz w:w="11906" w:h="16838"/>
          <w:pgMar w:top="1440" w:right="1800" w:bottom="1440" w:left="1800" w:header="851" w:footer="992" w:gutter="0"/>
          <w:pgNumType w:fmt="decimal"/>
          <w:cols w:space="1701" w:num="1"/>
          <w:docGrid w:linePitch="360" w:charSpace="0"/>
        </w:sectPr>
      </w:pPr>
    </w:p>
    <w:p w14:paraId="3D85F38F">
      <w:pPr>
        <w:shd w:val="clear" w:color="auto" w:fill="auto"/>
        <w:spacing w:line="240" w:lineRule="auto"/>
        <w:jc w:val="center"/>
        <w:outlineLvl w:val="9"/>
        <w:rPr>
          <w:rFonts w:hint="eastAsia"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南京市江宁医院耗材/试剂院内磋商材料目录</w:t>
      </w:r>
    </w:p>
    <w:p w14:paraId="57D2140B">
      <w:pPr>
        <w:adjustRightInd w:val="0"/>
        <w:snapToGrid w:val="0"/>
        <w:spacing w:after="160"/>
        <w:ind w:firstLine="480" w:firstLineChars="200"/>
        <w:contextualSpacing/>
        <w:outlineLvl w:val="9"/>
        <w:rPr>
          <w:rFonts w:hint="default" w:ascii="Times New Roman" w:hAnsi="Times New Roman" w:eastAsia="方正仿宋简体" w:cs="Times New Roman"/>
          <w:kern w:val="2"/>
          <w:sz w:val="24"/>
          <w:szCs w:val="24"/>
        </w:rPr>
      </w:pPr>
      <w:r>
        <w:rPr>
          <w:rFonts w:hint="eastAsia" w:ascii="Times New Roman" w:hAnsi="Times New Roman" w:eastAsia="方正仿宋简体" w:cs="Times New Roman"/>
          <w:kern w:val="2"/>
          <w:sz w:val="24"/>
          <w:szCs w:val="24"/>
          <w:lang w:eastAsia="zh-CN"/>
        </w:rPr>
        <w:t>投标供应商</w:t>
      </w:r>
      <w:r>
        <w:rPr>
          <w:rFonts w:hint="default" w:ascii="Times New Roman" w:hAnsi="Times New Roman" w:eastAsia="方正仿宋简体" w:cs="Times New Roman"/>
          <w:kern w:val="2"/>
          <w:sz w:val="24"/>
          <w:szCs w:val="24"/>
        </w:rPr>
        <w:t>必须提供符合我院要求的</w:t>
      </w:r>
      <w:r>
        <w:rPr>
          <w:rFonts w:hint="eastAsia" w:eastAsia="方正仿宋简体" w:cs="Times New Roman"/>
          <w:kern w:val="2"/>
          <w:sz w:val="24"/>
          <w:szCs w:val="24"/>
          <w:lang w:eastAsia="zh-CN"/>
        </w:rPr>
        <w:t>磋商</w:t>
      </w:r>
      <w:r>
        <w:rPr>
          <w:rFonts w:hint="default" w:ascii="Times New Roman" w:hAnsi="Times New Roman" w:eastAsia="方正仿宋简体" w:cs="Times New Roman"/>
          <w:kern w:val="2"/>
          <w:sz w:val="24"/>
          <w:szCs w:val="24"/>
        </w:rPr>
        <w:t>材料，</w:t>
      </w:r>
      <w:r>
        <w:rPr>
          <w:rFonts w:hint="default" w:ascii="Times New Roman" w:hAnsi="Times New Roman" w:eastAsia="方正仿宋简体" w:cs="Times New Roman"/>
          <w:b/>
          <w:color w:val="FF0000"/>
          <w:kern w:val="2"/>
          <w:sz w:val="24"/>
          <w:szCs w:val="24"/>
        </w:rPr>
        <w:t>保证所提供的各种材料真实、有效、齐全，承担相应的法律责任</w:t>
      </w:r>
      <w:r>
        <w:rPr>
          <w:rFonts w:hint="eastAsia" w:ascii="Times New Roman" w:hAnsi="Times New Roman" w:eastAsia="方正仿宋简体" w:cs="Times New Roman"/>
          <w:color w:val="FF0000"/>
          <w:kern w:val="2"/>
          <w:sz w:val="24"/>
          <w:szCs w:val="24"/>
        </w:rPr>
        <w:t>，</w:t>
      </w:r>
      <w:r>
        <w:rPr>
          <w:rFonts w:hint="default" w:ascii="Times New Roman" w:hAnsi="Times New Roman" w:eastAsia="方正仿宋简体" w:cs="Times New Roman"/>
          <w:b/>
          <w:color w:val="FF0000"/>
          <w:kern w:val="2"/>
          <w:sz w:val="24"/>
          <w:szCs w:val="24"/>
        </w:rPr>
        <w:t>请按下列顺序装订</w:t>
      </w:r>
      <w:r>
        <w:rPr>
          <w:rFonts w:hint="eastAsia" w:eastAsia="方正仿宋简体" w:cs="Times New Roman"/>
          <w:b/>
          <w:color w:val="FF0000"/>
          <w:kern w:val="2"/>
          <w:sz w:val="24"/>
          <w:szCs w:val="24"/>
          <w:lang w:eastAsia="zh-CN"/>
        </w:rPr>
        <w:t>（</w:t>
      </w:r>
      <w:r>
        <w:rPr>
          <w:rFonts w:hint="eastAsia" w:ascii="Times New Roman" w:hAnsi="Times New Roman" w:eastAsia="方正仿宋简体" w:cs="Times New Roman"/>
          <w:b/>
          <w:color w:val="FF0000"/>
          <w:kern w:val="2"/>
          <w:sz w:val="24"/>
          <w:szCs w:val="24"/>
        </w:rPr>
        <w:t>以下所提供材料都作为最后评分依据</w:t>
      </w:r>
      <w:r>
        <w:rPr>
          <w:rFonts w:hint="eastAsia" w:eastAsia="方正仿宋简体" w:cs="Times New Roman"/>
          <w:b/>
          <w:color w:val="FF0000"/>
          <w:kern w:val="2"/>
          <w:sz w:val="24"/>
          <w:szCs w:val="24"/>
          <w:lang w:eastAsia="zh-CN"/>
        </w:rPr>
        <w:t>）</w:t>
      </w:r>
      <w:r>
        <w:rPr>
          <w:rFonts w:hint="default" w:ascii="Times New Roman" w:hAnsi="Times New Roman" w:eastAsia="方正仿宋简体" w:cs="Times New Roman"/>
          <w:kern w:val="2"/>
          <w:sz w:val="24"/>
          <w:szCs w:val="24"/>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3BBE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4AE047B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461CA4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376E2D3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2D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F343F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29A66C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lang w:val="en-US" w:eastAsia="zh-CN" w:bidi="ar-SA"/>
              </w:rPr>
              <w:t>封面</w:t>
            </w:r>
          </w:p>
        </w:tc>
        <w:tc>
          <w:tcPr>
            <w:tcW w:w="6433" w:type="dxa"/>
            <w:gridSpan w:val="4"/>
            <w:vAlign w:val="center"/>
          </w:tcPr>
          <w:p w14:paraId="5C7ACD7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lang w:val="en-US" w:eastAsia="zh-CN" w:bidi="ar-SA"/>
              </w:rPr>
            </w:pPr>
            <w:r>
              <w:rPr>
                <w:rFonts w:hint="default" w:ascii="Times New Roman" w:hAnsi="Times New Roman" w:eastAsia="方正仿宋简体" w:cs="Times New Roman"/>
                <w:kern w:val="2"/>
                <w:sz w:val="21"/>
                <w:szCs w:val="21"/>
                <w:lang w:val="en-US" w:eastAsia="zh-CN" w:bidi="ar-SA"/>
              </w:rPr>
              <w:t>包括</w:t>
            </w:r>
            <w:r>
              <w:rPr>
                <w:rFonts w:hint="eastAsia" w:ascii="Times New Roman" w:hAnsi="Times New Roman" w:eastAsia="方正仿宋简体" w:cs="Times New Roman"/>
                <w:kern w:val="2"/>
                <w:sz w:val="21"/>
                <w:szCs w:val="21"/>
                <w:lang w:val="en-US" w:eastAsia="zh-CN" w:bidi="ar-SA"/>
              </w:rPr>
              <w:t>项目编号、</w:t>
            </w:r>
            <w:r>
              <w:rPr>
                <w:rFonts w:hint="default" w:ascii="Times New Roman" w:hAnsi="Times New Roman" w:eastAsia="方正仿宋简体" w:cs="Times New Roman"/>
                <w:kern w:val="2"/>
                <w:sz w:val="21"/>
                <w:szCs w:val="21"/>
                <w:lang w:val="en-US" w:eastAsia="zh-CN" w:bidi="ar-SA"/>
              </w:rPr>
              <w:t>产品注册证名称、</w:t>
            </w:r>
            <w:r>
              <w:rPr>
                <w:rFonts w:hint="eastAsia" w:eastAsia="方正仿宋简体" w:cs="Times New Roman"/>
                <w:kern w:val="2"/>
                <w:sz w:val="21"/>
                <w:szCs w:val="21"/>
                <w:lang w:val="en-US" w:eastAsia="zh-CN" w:bidi="ar-SA"/>
              </w:rPr>
              <w:t>生产厂家名称</w:t>
            </w:r>
            <w:r>
              <w:rPr>
                <w:rFonts w:hint="default" w:ascii="Times New Roman" w:hAnsi="Times New Roman" w:eastAsia="方正仿宋简体" w:cs="Times New Roman"/>
                <w:kern w:val="2"/>
                <w:sz w:val="21"/>
                <w:szCs w:val="21"/>
                <w:lang w:val="en-US" w:eastAsia="zh-CN" w:bidi="ar-SA"/>
              </w:rPr>
              <w:t>、</w:t>
            </w: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名称、联系人姓名及联系电话等</w:t>
            </w:r>
          </w:p>
        </w:tc>
      </w:tr>
      <w:tr w14:paraId="1BDC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985A9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5858EF9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35C754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5BB2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3C721FB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4D9355B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投标产品报价清单</w:t>
            </w:r>
          </w:p>
        </w:tc>
        <w:tc>
          <w:tcPr>
            <w:tcW w:w="6433" w:type="dxa"/>
            <w:gridSpan w:val="4"/>
            <w:vAlign w:val="center"/>
          </w:tcPr>
          <w:p w14:paraId="190A546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color w:val="FF0000"/>
                <w:kern w:val="2"/>
                <w:sz w:val="21"/>
                <w:szCs w:val="21"/>
                <w:highlight w:val="none"/>
                <w:vertAlign w:val="baseline"/>
                <w:lang w:val="en-US" w:eastAsia="zh-CN" w:bidi="ar-SA"/>
              </w:rPr>
              <w:t>填报耗材试剂必须满足南京市平台中标产品挂网，并按评分要求提供证明材料（按报价单顺序依次附南京市平台中标产品挂网截图），如填报产品信息有误则该投标文件无效。</w:t>
            </w:r>
          </w:p>
        </w:tc>
      </w:tr>
      <w:tr w14:paraId="22DA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0E2735D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0D5778E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32349B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shd w:val="clear" w:color="auto" w:fill="auto"/>
            <w:vAlign w:val="center"/>
          </w:tcPr>
          <w:p w14:paraId="036EB8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shd w:val="clear" w:color="auto" w:fill="auto"/>
            <w:vAlign w:val="center"/>
          </w:tcPr>
          <w:p w14:paraId="69F2436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shd w:val="clear" w:color="auto" w:fill="auto"/>
            <w:vAlign w:val="center"/>
          </w:tcPr>
          <w:p w14:paraId="7EB4DFD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shd w:val="clear" w:color="auto" w:fill="auto"/>
            <w:vAlign w:val="center"/>
          </w:tcPr>
          <w:p w14:paraId="2394D2F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25C9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46D21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4E274E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p w14:paraId="0ECEFBE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color w:val="FF0000"/>
                <w:kern w:val="2"/>
                <w:sz w:val="21"/>
                <w:szCs w:val="21"/>
                <w:highlight w:val="none"/>
                <w:lang w:val="en-US" w:eastAsia="zh-CN" w:bidi="ar-SA"/>
              </w:rPr>
              <w:t>（按照报价单顺序摆放）</w:t>
            </w:r>
          </w:p>
        </w:tc>
        <w:tc>
          <w:tcPr>
            <w:tcW w:w="1608" w:type="dxa"/>
            <w:shd w:val="clear" w:color="auto" w:fill="auto"/>
            <w:vAlign w:val="center"/>
          </w:tcPr>
          <w:p w14:paraId="738C2C3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shd w:val="clear" w:color="auto" w:fill="auto"/>
            <w:vAlign w:val="center"/>
          </w:tcPr>
          <w:p w14:paraId="43755F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shd w:val="clear" w:color="auto" w:fill="auto"/>
            <w:vAlign w:val="center"/>
          </w:tcPr>
          <w:p w14:paraId="77C2D57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shd w:val="clear" w:color="auto" w:fill="auto"/>
            <w:vAlign w:val="center"/>
          </w:tcPr>
          <w:p w14:paraId="4751F32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17BC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4705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79DCCF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资质</w:t>
            </w:r>
          </w:p>
        </w:tc>
        <w:tc>
          <w:tcPr>
            <w:tcW w:w="1608" w:type="dxa"/>
            <w:vAlign w:val="center"/>
          </w:tcPr>
          <w:p w14:paraId="1CAFA51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7193F0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66A3E14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417B8AD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52BC70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539F4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686F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CE089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086137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lang w:val="en-US" w:eastAsia="zh-CN" w:bidi="ar-SA"/>
              </w:rPr>
              <w:t>生产厂家资质</w:t>
            </w:r>
          </w:p>
        </w:tc>
        <w:tc>
          <w:tcPr>
            <w:tcW w:w="1608" w:type="dxa"/>
            <w:vAlign w:val="center"/>
          </w:tcPr>
          <w:p w14:paraId="4D3B8E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7E12D5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466CD4A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0586B3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175536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33E6A23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73B4567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345C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4F04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3E778B4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生产厂家授权书</w:t>
            </w:r>
          </w:p>
        </w:tc>
        <w:tc>
          <w:tcPr>
            <w:tcW w:w="6433" w:type="dxa"/>
            <w:gridSpan w:val="4"/>
            <w:vAlign w:val="center"/>
          </w:tcPr>
          <w:p w14:paraId="2A8CA43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rPr>
              <w:t>全流程授权不可断档</w:t>
            </w:r>
          </w:p>
        </w:tc>
      </w:tr>
      <w:tr w14:paraId="1CD1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FEC1D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shd w:val="clear" w:color="auto" w:fill="auto"/>
            <w:vAlign w:val="center"/>
          </w:tcPr>
          <w:p w14:paraId="3957CB1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shd w:val="clear" w:color="auto" w:fill="auto"/>
            <w:vAlign w:val="center"/>
          </w:tcPr>
          <w:p w14:paraId="168036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23D6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E1D5A4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25DCC5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eastAsia" w:eastAsia="方正仿宋简体" w:cs="Times New Roman"/>
                <w:kern w:val="2"/>
                <w:sz w:val="21"/>
                <w:szCs w:val="21"/>
                <w:highlight w:val="none"/>
                <w:lang w:val="en-US" w:eastAsia="zh-CN" w:bidi="ar-SA"/>
              </w:rPr>
              <w:t>产品说明书</w:t>
            </w:r>
          </w:p>
        </w:tc>
        <w:tc>
          <w:tcPr>
            <w:tcW w:w="6433" w:type="dxa"/>
            <w:gridSpan w:val="4"/>
            <w:vAlign w:val="center"/>
          </w:tcPr>
          <w:p w14:paraId="49CC9E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8AE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225A220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77453B3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产品彩页（样品）</w:t>
            </w:r>
          </w:p>
        </w:tc>
        <w:tc>
          <w:tcPr>
            <w:tcW w:w="6433" w:type="dxa"/>
            <w:gridSpan w:val="4"/>
            <w:vAlign w:val="center"/>
          </w:tcPr>
          <w:p w14:paraId="42310D1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6E8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1EC4F8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4EE4D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5D9409C5">
            <w:pPr>
              <w:keepNext w:val="0"/>
              <w:keepLines w:val="0"/>
              <w:pageBreakBefore w:val="0"/>
              <w:widowControl w:val="0"/>
              <w:kinsoku/>
              <w:wordWrap/>
              <w:overflowPunct/>
              <w:topLinePunct w:val="0"/>
              <w:autoSpaceDE/>
              <w:autoSpaceDN/>
              <w:bidi w:val="0"/>
              <w:adjustRightInd/>
              <w:snapToGrid w:val="0"/>
              <w:spacing w:after="0" w:line="240" w:lineRule="auto"/>
              <w:jc w:val="both"/>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在</w:t>
            </w:r>
            <w:r>
              <w:rPr>
                <w:rFonts w:hint="eastAsia" w:eastAsia="方正仿宋简体" w:cs="Times New Roman"/>
                <w:kern w:val="2"/>
                <w:sz w:val="21"/>
                <w:szCs w:val="21"/>
                <w:highlight w:val="none"/>
                <w:lang w:val="en-US" w:eastAsia="zh-CN" w:bidi="ar-SA"/>
              </w:rPr>
              <w:t>南京</w:t>
            </w:r>
            <w:r>
              <w:rPr>
                <w:rFonts w:hint="default" w:ascii="Times New Roman" w:hAnsi="Times New Roman" w:eastAsia="方正仿宋简体" w:cs="Times New Roman"/>
                <w:kern w:val="2"/>
                <w:sz w:val="21"/>
                <w:szCs w:val="21"/>
                <w:highlight w:val="none"/>
                <w:lang w:val="en-US" w:eastAsia="zh-CN" w:bidi="ar-SA"/>
              </w:rPr>
              <w:t>其他</w:t>
            </w:r>
            <w:r>
              <w:rPr>
                <w:rFonts w:hint="eastAsia" w:eastAsia="方正仿宋简体" w:cs="Times New Roman"/>
                <w:kern w:val="2"/>
                <w:sz w:val="21"/>
                <w:szCs w:val="21"/>
                <w:highlight w:val="none"/>
                <w:lang w:val="en-US" w:eastAsia="zh-CN" w:bidi="ar-SA"/>
              </w:rPr>
              <w:t>三级医院的</w:t>
            </w:r>
            <w:r>
              <w:rPr>
                <w:rFonts w:hint="default" w:ascii="Times New Roman" w:hAnsi="Times New Roman" w:eastAsia="方正仿宋简体" w:cs="Times New Roman"/>
                <w:kern w:val="2"/>
                <w:sz w:val="21"/>
                <w:szCs w:val="21"/>
                <w:highlight w:val="none"/>
                <w:lang w:val="en-US" w:eastAsia="zh-CN" w:bidi="ar-SA"/>
              </w:rPr>
              <w:t>合同</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供货发票</w:t>
            </w:r>
            <w:r>
              <w:rPr>
                <w:rFonts w:hint="eastAsia" w:eastAsia="方正仿宋简体" w:cs="Times New Roman"/>
                <w:kern w:val="2"/>
                <w:sz w:val="21"/>
                <w:szCs w:val="21"/>
                <w:highlight w:val="none"/>
                <w:lang w:val="en-US" w:eastAsia="zh-CN" w:bidi="ar-SA"/>
              </w:rPr>
              <w:t>、送货单</w:t>
            </w:r>
            <w:r>
              <w:rPr>
                <w:rFonts w:hint="default" w:ascii="Times New Roman" w:hAnsi="Times New Roman" w:eastAsia="方正仿宋简体" w:cs="Times New Roman"/>
                <w:kern w:val="2"/>
                <w:sz w:val="21"/>
                <w:szCs w:val="21"/>
                <w:highlight w:val="none"/>
                <w:lang w:val="en-US" w:eastAsia="zh-CN" w:bidi="ar-SA"/>
              </w:rPr>
              <w:t>等相关资料</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非同型号产品或非供应商销售记录无效。</w:t>
            </w:r>
          </w:p>
        </w:tc>
      </w:tr>
      <w:tr w14:paraId="3EB6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758E197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shd w:val="clear" w:color="auto" w:fill="auto"/>
            <w:vAlign w:val="center"/>
          </w:tcPr>
          <w:p w14:paraId="60E4163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配送服务承诺书</w:t>
            </w:r>
          </w:p>
        </w:tc>
        <w:tc>
          <w:tcPr>
            <w:tcW w:w="6433" w:type="dxa"/>
            <w:gridSpan w:val="4"/>
            <w:vAlign w:val="center"/>
          </w:tcPr>
          <w:p w14:paraId="7E42797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产品配送供货商为我院在院配送公司，如无则自愿转配送在院供货商，服从医院SPD运营管理。</w:t>
            </w:r>
          </w:p>
        </w:tc>
      </w:tr>
      <w:tr w14:paraId="65FC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7B98E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09B352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供应商售后服务</w:t>
            </w:r>
          </w:p>
        </w:tc>
        <w:tc>
          <w:tcPr>
            <w:tcW w:w="6433" w:type="dxa"/>
            <w:gridSpan w:val="4"/>
            <w:vAlign w:val="center"/>
          </w:tcPr>
          <w:p w14:paraId="25790A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1.有明确的售后服务人员组成（提供公司人员管理组织架构相关材料）；</w:t>
            </w:r>
          </w:p>
          <w:p w14:paraId="2B56AB6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2.有应急供货措施或制度（提供相关制度文件材料）；</w:t>
            </w:r>
          </w:p>
          <w:p w14:paraId="649E83F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3.有明确的不良事件发生后的处置方案或措施；</w:t>
            </w:r>
          </w:p>
          <w:p w14:paraId="63FFF3F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4.能配合医院关于医用耗材/试剂管理的相应要求及制度（提供承诺书）；</w:t>
            </w:r>
          </w:p>
          <w:p w14:paraId="198E64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5.能24小时内响应，到院处理各项问题事务（提供承诺书）</w:t>
            </w:r>
          </w:p>
        </w:tc>
      </w:tr>
      <w:tr w14:paraId="5593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B630D4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14</w:t>
            </w:r>
          </w:p>
        </w:tc>
        <w:tc>
          <w:tcPr>
            <w:tcW w:w="2117" w:type="dxa"/>
            <w:shd w:val="clear" w:color="auto" w:fill="auto"/>
            <w:vAlign w:val="center"/>
          </w:tcPr>
          <w:p w14:paraId="5067AB9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272889C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r w14:paraId="501E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E4098B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shd w:val="clear" w:color="auto" w:fill="auto"/>
            <w:vAlign w:val="center"/>
          </w:tcPr>
          <w:p w14:paraId="3174C2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7C9EE9E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bl>
    <w:p w14:paraId="30818A15">
      <w:pPr>
        <w:adjustRightInd w:val="0"/>
        <w:snapToGrid w:val="0"/>
        <w:spacing w:after="160"/>
        <w:contextualSpacing/>
        <w:outlineLvl w:val="9"/>
        <w:rPr>
          <w:rFonts w:hint="default" w:ascii="Times New Roman" w:hAnsi="Times New Roman" w:eastAsia="方正仿宋简体" w:cs="Times New Roman"/>
          <w:kern w:val="2"/>
          <w:sz w:val="24"/>
          <w:szCs w:val="24"/>
        </w:rPr>
      </w:pPr>
    </w:p>
    <w:p w14:paraId="6C712EAC">
      <w:pPr>
        <w:widowControl/>
        <w:ind w:firstLine="480" w:firstLineChars="200"/>
        <w:jc w:val="both"/>
        <w:outlineLvl w:val="9"/>
        <w:rPr>
          <w:rFonts w:hint="eastAsia" w:ascii="Calibri" w:hAnsi="Calibri"/>
          <w:kern w:val="2"/>
          <w:lang w:eastAsia="zh-CN"/>
        </w:rPr>
      </w:pPr>
      <w:r>
        <w:rPr>
          <w:rFonts w:hint="default" w:ascii="Times New Roman" w:hAnsi="Times New Roman" w:eastAsia="方正仿宋简体" w:cs="Times New Roman"/>
          <w:kern w:val="2"/>
          <w:sz w:val="24"/>
          <w:szCs w:val="24"/>
        </w:rPr>
        <w:t>上述材料</w:t>
      </w:r>
      <w:r>
        <w:rPr>
          <w:rFonts w:hint="default" w:ascii="Times New Roman" w:hAnsi="Times New Roman" w:eastAsia="方正仿宋简体" w:cs="Times New Roman"/>
          <w:b/>
          <w:bCs/>
          <w:kern w:val="2"/>
          <w:sz w:val="24"/>
          <w:szCs w:val="24"/>
        </w:rPr>
        <w:t>正本必须加盖公司的公章</w:t>
      </w:r>
      <w:r>
        <w:rPr>
          <w:rFonts w:hint="eastAsia" w:ascii="Times New Roman" w:hAnsi="Times New Roman" w:eastAsia="方正仿宋简体" w:cs="Times New Roman"/>
          <w:kern w:val="2"/>
          <w:sz w:val="24"/>
          <w:szCs w:val="24"/>
        </w:rPr>
        <w:t>（</w:t>
      </w:r>
      <w:r>
        <w:rPr>
          <w:rFonts w:hint="default" w:ascii="Times New Roman" w:hAnsi="Times New Roman" w:eastAsia="方正仿宋简体" w:cs="Times New Roman"/>
          <w:kern w:val="2"/>
          <w:sz w:val="24"/>
          <w:szCs w:val="24"/>
        </w:rPr>
        <w:t>复印公章无效</w:t>
      </w:r>
      <w:r>
        <w:rPr>
          <w:rFonts w:hint="eastAsia" w:ascii="Times New Roman" w:hAnsi="Times New Roman" w:eastAsia="方正仿宋简体" w:cs="Times New Roman"/>
          <w:kern w:val="2"/>
          <w:sz w:val="24"/>
          <w:szCs w:val="24"/>
        </w:rPr>
        <w:t>）</w:t>
      </w:r>
      <w:r>
        <w:rPr>
          <w:rFonts w:hint="default" w:ascii="Times New Roman" w:hAnsi="Times New Roman" w:eastAsia="方正仿宋简体" w:cs="Times New Roman"/>
          <w:kern w:val="2"/>
          <w:sz w:val="24"/>
          <w:szCs w:val="24"/>
        </w:rPr>
        <w:t>，</w:t>
      </w:r>
      <w:r>
        <w:rPr>
          <w:rFonts w:hint="eastAsia" w:ascii="Times New Roman" w:hAnsi="Times New Roman" w:eastAsia="方正仿宋简体" w:cs="Times New Roman"/>
          <w:b/>
          <w:bCs/>
          <w:color w:val="FF0000"/>
          <w:kern w:val="2"/>
          <w:sz w:val="24"/>
          <w:szCs w:val="24"/>
        </w:rPr>
        <w:t>所有材料必须清晰，复印后无法辨别的资料均视为无效，</w:t>
      </w:r>
      <w:r>
        <w:rPr>
          <w:rFonts w:hint="default" w:ascii="Times New Roman" w:hAnsi="Times New Roman" w:eastAsia="方正仿宋简体" w:cs="Times New Roman"/>
          <w:b/>
          <w:bCs/>
          <w:color w:val="FF0000"/>
          <w:kern w:val="2"/>
          <w:sz w:val="24"/>
          <w:szCs w:val="24"/>
        </w:rPr>
        <w:t>要求提供正本一份，副本</w:t>
      </w:r>
      <w:r>
        <w:rPr>
          <w:rFonts w:hint="eastAsia" w:eastAsia="方正仿宋简体" w:cs="Times New Roman"/>
          <w:b/>
          <w:bCs/>
          <w:color w:val="FF0000"/>
          <w:kern w:val="2"/>
          <w:sz w:val="24"/>
          <w:szCs w:val="24"/>
          <w:lang w:eastAsia="zh-CN"/>
        </w:rPr>
        <w:t>四</w:t>
      </w:r>
      <w:r>
        <w:rPr>
          <w:rFonts w:hint="default" w:ascii="Times New Roman" w:hAnsi="Times New Roman" w:eastAsia="方正仿宋简体" w:cs="Times New Roman"/>
          <w:b/>
          <w:bCs/>
          <w:color w:val="FF0000"/>
          <w:kern w:val="2"/>
          <w:sz w:val="24"/>
          <w:szCs w:val="24"/>
        </w:rPr>
        <w:t>份</w:t>
      </w:r>
      <w:r>
        <w:rPr>
          <w:rFonts w:hint="eastAsia" w:eastAsia="方正仿宋简体" w:cs="Times New Roman"/>
          <w:b/>
          <w:bCs/>
          <w:color w:val="FF0000"/>
          <w:kern w:val="2"/>
          <w:sz w:val="24"/>
          <w:szCs w:val="24"/>
          <w:lang w:eastAsia="zh-CN"/>
        </w:rPr>
        <w:t>（电子标书与设备可放一起），</w:t>
      </w:r>
      <w:r>
        <w:rPr>
          <w:rFonts w:hint="default" w:ascii="Times New Roman" w:hAnsi="Times New Roman" w:eastAsia="方正仿宋简体" w:cs="Times New Roman"/>
          <w:b/>
          <w:color w:val="FF0000"/>
          <w:kern w:val="2"/>
          <w:sz w:val="24"/>
          <w:szCs w:val="24"/>
        </w:rPr>
        <w:t>副本可为复印件，</w:t>
      </w:r>
      <w:r>
        <w:rPr>
          <w:rFonts w:hint="eastAsia" w:ascii="Times New Roman" w:hAnsi="Times New Roman" w:eastAsia="方正仿宋简体" w:cs="Times New Roman"/>
          <w:b/>
          <w:bCs/>
          <w:color w:val="FF0000"/>
          <w:kern w:val="2"/>
          <w:sz w:val="24"/>
          <w:szCs w:val="24"/>
        </w:rPr>
        <w:t>样品若干。</w:t>
      </w:r>
      <w:r>
        <w:rPr>
          <w:rFonts w:hint="eastAsia" w:ascii="Times New Roman" w:hAnsi="Times New Roman" w:eastAsia="方正仿宋简体" w:cs="Times New Roman"/>
          <w:kern w:val="2"/>
          <w:sz w:val="24"/>
          <w:szCs w:val="24"/>
        </w:rPr>
        <w:t>未按要求提供</w:t>
      </w:r>
      <w:r>
        <w:rPr>
          <w:rFonts w:hint="eastAsia" w:ascii="Times New Roman" w:hAnsi="Times New Roman" w:eastAsia="方正仿宋简体" w:cs="Times New Roman"/>
          <w:kern w:val="2"/>
          <w:sz w:val="24"/>
          <w:szCs w:val="24"/>
          <w:lang w:eastAsia="zh-CN"/>
        </w:rPr>
        <w:t>投标</w:t>
      </w:r>
      <w:r>
        <w:rPr>
          <w:rFonts w:hint="eastAsia" w:ascii="Times New Roman" w:hAnsi="Times New Roman" w:eastAsia="方正仿宋简体" w:cs="Times New Roman"/>
          <w:kern w:val="2"/>
          <w:sz w:val="24"/>
          <w:szCs w:val="24"/>
        </w:rPr>
        <w:t>材料的供应商即取消竞争资格</w:t>
      </w:r>
      <w:r>
        <w:rPr>
          <w:rFonts w:hint="default" w:ascii="Times New Roman" w:hAnsi="Times New Roman" w:eastAsia="方正仿宋简体" w:cs="Times New Roman"/>
          <w:kern w:val="2"/>
          <w:sz w:val="24"/>
          <w:szCs w:val="24"/>
        </w:rPr>
        <w:t>。</w:t>
      </w:r>
    </w:p>
    <w:p w14:paraId="44ADBB7F">
      <w:pPr>
        <w:outlineLvl w:val="9"/>
        <w:rPr>
          <w:highlight w:val="none"/>
        </w:rPr>
      </w:pPr>
    </w:p>
    <w:p w14:paraId="04237C0C">
      <w:pPr>
        <w:outlineLvl w:val="9"/>
        <w:rPr>
          <w:highlight w:val="none"/>
        </w:rPr>
        <w:sectPr>
          <w:pgSz w:w="11906" w:h="16838"/>
          <w:pgMar w:top="1440" w:right="1800" w:bottom="1440" w:left="1800" w:header="851" w:footer="992" w:gutter="0"/>
          <w:pgNumType w:fmt="decimal"/>
          <w:cols w:space="1701" w:num="1"/>
          <w:docGrid w:linePitch="360" w:charSpace="0"/>
        </w:sectPr>
      </w:pPr>
    </w:p>
    <w:p w14:paraId="1B05861F">
      <w:pPr>
        <w:shd w:val="clear" w:color="auto" w:fill="auto"/>
        <w:spacing w:line="360" w:lineRule="auto"/>
        <w:jc w:val="center"/>
        <w:outlineLvl w:val="9"/>
        <w:rPr>
          <w:rFonts w:hint="eastAsia" w:ascii="宋体" w:hAnsi="宋体" w:cs="宋体"/>
          <w:b/>
          <w:bCs/>
          <w:color w:val="000000"/>
          <w:sz w:val="72"/>
          <w:szCs w:val="72"/>
          <w:highlight w:val="none"/>
          <w:lang w:eastAsia="zh-CN"/>
        </w:rPr>
      </w:pPr>
      <w:r>
        <w:rPr>
          <w:rFonts w:hint="eastAsia" w:ascii="宋体" w:hAnsi="宋体" w:cs="宋体"/>
          <w:b/>
          <w:bCs/>
          <w:color w:val="000000"/>
          <w:sz w:val="72"/>
          <w:szCs w:val="72"/>
          <w:highlight w:val="none"/>
          <w:lang w:eastAsia="zh-CN"/>
        </w:rPr>
        <w:t>南京市江宁医院</w:t>
      </w:r>
    </w:p>
    <w:p w14:paraId="3F2F2C85">
      <w:pPr>
        <w:shd w:val="clear" w:color="auto" w:fill="auto"/>
        <w:spacing w:line="360" w:lineRule="auto"/>
        <w:jc w:val="center"/>
        <w:outlineLvl w:val="9"/>
        <w:rPr>
          <w:rFonts w:hint="eastAsia" w:ascii="宋体" w:hAnsi="宋体" w:cs="宋体"/>
          <w:b/>
          <w:bCs/>
          <w:color w:val="000000"/>
          <w:w w:val="90"/>
          <w:sz w:val="72"/>
          <w:szCs w:val="72"/>
          <w:highlight w:val="none"/>
        </w:rPr>
      </w:pPr>
      <w:r>
        <w:rPr>
          <w:rFonts w:hint="eastAsia" w:ascii="宋体" w:hAnsi="宋体" w:cs="宋体"/>
          <w:b/>
          <w:bCs/>
          <w:color w:val="000000"/>
          <w:w w:val="90"/>
          <w:sz w:val="72"/>
          <w:szCs w:val="72"/>
          <w:highlight w:val="none"/>
          <w:lang w:eastAsia="zh-CN"/>
        </w:rPr>
        <w:t>耗材</w:t>
      </w:r>
      <w:r>
        <w:rPr>
          <w:rFonts w:hint="eastAsia" w:ascii="宋体" w:hAnsi="宋体" w:cs="宋体"/>
          <w:b/>
          <w:bCs/>
          <w:color w:val="000000"/>
          <w:w w:val="90"/>
          <w:sz w:val="72"/>
          <w:szCs w:val="72"/>
          <w:highlight w:val="none"/>
          <w:lang w:val="en-US" w:eastAsia="zh-CN"/>
        </w:rPr>
        <w:t>/试剂</w:t>
      </w:r>
      <w:r>
        <w:rPr>
          <w:rFonts w:hint="eastAsia" w:ascii="宋体" w:hAnsi="宋体" w:cs="宋体"/>
          <w:b/>
          <w:bCs/>
          <w:color w:val="000000"/>
          <w:w w:val="90"/>
          <w:sz w:val="72"/>
          <w:szCs w:val="72"/>
          <w:highlight w:val="none"/>
          <w:lang w:eastAsia="zh-CN"/>
        </w:rPr>
        <w:t>院内</w:t>
      </w:r>
      <w:r>
        <w:rPr>
          <w:rFonts w:hint="eastAsia" w:ascii="宋体" w:hAnsi="宋体" w:cs="宋体"/>
          <w:b/>
          <w:bCs/>
          <w:color w:val="000000"/>
          <w:w w:val="90"/>
          <w:sz w:val="72"/>
          <w:szCs w:val="72"/>
          <w:highlight w:val="none"/>
        </w:rPr>
        <w:t>磋商响应文件</w:t>
      </w:r>
    </w:p>
    <w:p w14:paraId="15CD8A94">
      <w:pPr>
        <w:shd w:val="clear" w:color="auto" w:fill="auto"/>
        <w:spacing w:line="360" w:lineRule="auto"/>
        <w:jc w:val="center"/>
        <w:outlineLvl w:val="9"/>
        <w:rPr>
          <w:rFonts w:hint="eastAsia" w:ascii="宋体" w:hAnsi="宋体" w:eastAsia="宋体" w:cs="宋体"/>
          <w:b/>
          <w:bCs/>
          <w:color w:val="000000"/>
          <w:sz w:val="60"/>
          <w:szCs w:val="60"/>
          <w:highlight w:val="none"/>
          <w:lang w:eastAsia="zh-CN"/>
        </w:rPr>
      </w:pPr>
    </w:p>
    <w:p w14:paraId="6B7A87FD">
      <w:pPr>
        <w:shd w:val="clear" w:color="auto" w:fill="auto"/>
        <w:spacing w:line="360" w:lineRule="auto"/>
        <w:jc w:val="center"/>
        <w:outlineLvl w:val="9"/>
        <w:rPr>
          <w:rFonts w:hint="eastAsia" w:ascii="宋体" w:hAnsi="宋体" w:cs="宋体"/>
          <w:b/>
          <w:bCs/>
          <w:color w:val="000000"/>
          <w:sz w:val="72"/>
          <w:szCs w:val="72"/>
          <w:highlight w:val="none"/>
        </w:rPr>
      </w:pPr>
    </w:p>
    <w:p w14:paraId="28EAE8C8">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15442AE0">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产</w:t>
      </w:r>
      <w:r>
        <w:rPr>
          <w:rFonts w:hint="eastAsia" w:ascii="宋体" w:hAnsi="宋体" w:eastAsia="宋体" w:cs="宋体"/>
          <w:b/>
          <w:color w:val="000000"/>
          <w:sz w:val="36"/>
          <w:szCs w:val="36"/>
          <w:highlight w:val="none"/>
          <w:lang w:val="en-US" w:eastAsia="zh-CN" w:bidi="ar-SA"/>
        </w:rPr>
        <w:t xml:space="preserve"> </w:t>
      </w:r>
      <w:r>
        <w:rPr>
          <w:rFonts w:hint="eastAsia" w:ascii="宋体" w:hAnsi="宋体" w:cs="宋体"/>
          <w:b/>
          <w:color w:val="000000"/>
          <w:sz w:val="36"/>
          <w:szCs w:val="36"/>
          <w:highlight w:val="none"/>
          <w:lang w:val="en-US" w:eastAsia="zh-CN" w:bidi="ar-SA"/>
        </w:rPr>
        <w:t>品</w:t>
      </w:r>
      <w:r>
        <w:rPr>
          <w:rFonts w:hint="eastAsia" w:ascii="宋体" w:hAnsi="宋体" w:eastAsia="宋体" w:cs="宋体"/>
          <w:b/>
          <w:color w:val="000000"/>
          <w:sz w:val="36"/>
          <w:szCs w:val="36"/>
          <w:highlight w:val="none"/>
          <w:lang w:val="en-US" w:eastAsia="zh-CN" w:bidi="ar-SA"/>
        </w:rPr>
        <w:t xml:space="preserve"> 名 称：</w:t>
      </w:r>
      <w:r>
        <w:rPr>
          <w:rFonts w:hint="eastAsia" w:ascii="宋体" w:hAnsi="宋体" w:eastAsia="宋体" w:cs="宋体"/>
          <w:b/>
          <w:color w:val="000000"/>
          <w:sz w:val="36"/>
          <w:szCs w:val="36"/>
          <w:highlight w:val="none"/>
          <w:u w:val="single"/>
          <w:lang w:val="en-US" w:eastAsia="zh-CN" w:bidi="ar-SA"/>
        </w:rPr>
        <w:t xml:space="preserve">               </w:t>
      </w:r>
    </w:p>
    <w:p w14:paraId="61C51A7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生产厂家名称</w:t>
      </w:r>
      <w:r>
        <w:rPr>
          <w:rFonts w:hint="eastAsia" w:ascii="宋体" w:hAnsi="宋体" w:eastAsia="宋体" w:cs="宋体"/>
          <w:b/>
          <w:color w:val="000000"/>
          <w:sz w:val="36"/>
          <w:szCs w:val="36"/>
          <w:highlight w:val="none"/>
          <w:lang w:val="en-US" w:eastAsia="zh-CN" w:bidi="ar-SA"/>
        </w:rPr>
        <w:t>：</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p>
    <w:p w14:paraId="0AF80DF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75FD107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20074777">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BF7D49">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4878CC7A">
      <w:pPr>
        <w:outlineLvl w:val="9"/>
        <w:rPr>
          <w:highlight w:val="none"/>
        </w:rPr>
        <w:sectPr>
          <w:pgSz w:w="11906" w:h="16838"/>
          <w:pgMar w:top="1440" w:right="1800" w:bottom="1440" w:left="1800" w:header="851" w:footer="992" w:gutter="0"/>
          <w:pgNumType w:fmt="decimal"/>
          <w:cols w:space="1701" w:num="1"/>
          <w:docGrid w:linePitch="360" w:charSpace="0"/>
        </w:sectPr>
      </w:pPr>
    </w:p>
    <w:p w14:paraId="598C90FD">
      <w:pPr>
        <w:shd w:val="clear" w:color="auto" w:fill="auto"/>
        <w:spacing w:line="360" w:lineRule="auto"/>
        <w:jc w:val="center"/>
        <w:outlineLvl w:val="9"/>
        <w:rPr>
          <w:rFonts w:hint="eastAsia" w:ascii="宋体" w:hAnsi="宋体" w:cs="宋体"/>
          <w:b/>
          <w:color w:val="000000"/>
          <w:sz w:val="36"/>
          <w:szCs w:val="21"/>
          <w:highlight w:val="none"/>
          <w:lang w:eastAsia="zh-CN"/>
        </w:rPr>
      </w:pPr>
      <w:r>
        <w:rPr>
          <w:rFonts w:hint="eastAsia" w:ascii="宋体" w:hAnsi="宋体" w:cs="宋体"/>
          <w:b/>
          <w:color w:val="000000"/>
          <w:sz w:val="36"/>
          <w:szCs w:val="21"/>
          <w:highlight w:val="none"/>
          <w:lang w:eastAsia="zh-CN"/>
        </w:rPr>
        <w:t>目录</w:t>
      </w:r>
    </w:p>
    <w:p w14:paraId="300A9DBD">
      <w:pPr>
        <w:shd w:val="clear" w:color="auto" w:fill="auto"/>
        <w:spacing w:line="360" w:lineRule="auto"/>
        <w:jc w:val="center"/>
        <w:outlineLvl w:val="9"/>
        <w:rPr>
          <w:rFonts w:hint="eastAsia" w:ascii="宋体" w:hAnsi="宋体" w:cs="宋体"/>
          <w:b/>
          <w:color w:val="000000"/>
          <w:sz w:val="36"/>
          <w:szCs w:val="21"/>
          <w:highlight w:val="none"/>
          <w:lang w:eastAsia="zh-CN"/>
        </w:rPr>
        <w:sectPr>
          <w:pgSz w:w="11906" w:h="16838"/>
          <w:pgMar w:top="1440" w:right="1800" w:bottom="1440" w:left="1800" w:header="851" w:footer="992" w:gutter="0"/>
          <w:pgNumType w:fmt="decimal"/>
          <w:cols w:space="1701" w:num="1"/>
          <w:docGrid w:linePitch="360" w:charSpace="0"/>
        </w:sectPr>
      </w:pPr>
    </w:p>
    <w:p w14:paraId="2ACDCA9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投标产品报价清单</w:t>
      </w:r>
    </w:p>
    <w:p w14:paraId="153BB870">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lang w:eastAsia="zh-CN"/>
        </w:rPr>
      </w:pPr>
      <w:r>
        <w:rPr>
          <w:rFonts w:hint="eastAsia" w:ascii="Calibri" w:hAnsi="Calibri" w:eastAsia="宋体" w:cs="Times New Roman"/>
          <w:b/>
          <w:kern w:val="2"/>
          <w:sz w:val="24"/>
          <w:szCs w:val="24"/>
        </w:rPr>
        <w:t>可单独收费耗材报价单</w:t>
      </w:r>
      <w:r>
        <w:rPr>
          <w:rFonts w:hint="eastAsia" w:ascii="Calibri" w:hAnsi="Calibri" w:cs="Times New Roman"/>
          <w:b/>
          <w:kern w:val="2"/>
          <w:sz w:val="24"/>
          <w:szCs w:val="24"/>
          <w:lang w:eastAsia="zh-CN"/>
        </w:rPr>
        <w:t>（试剂除外）</w:t>
      </w:r>
    </w:p>
    <w:tbl>
      <w:tblPr>
        <w:tblStyle w:val="35"/>
        <w:tblW w:w="14251" w:type="dxa"/>
        <w:tblInd w:w="-2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531"/>
        <w:gridCol w:w="964"/>
        <w:gridCol w:w="964"/>
        <w:gridCol w:w="964"/>
        <w:gridCol w:w="850"/>
        <w:gridCol w:w="1134"/>
        <w:gridCol w:w="1134"/>
        <w:gridCol w:w="708"/>
        <w:gridCol w:w="1008"/>
        <w:gridCol w:w="855"/>
        <w:gridCol w:w="1305"/>
        <w:gridCol w:w="567"/>
        <w:gridCol w:w="850"/>
        <w:gridCol w:w="850"/>
      </w:tblGrid>
      <w:tr w14:paraId="759A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38A2AAD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序号</w:t>
            </w:r>
          </w:p>
        </w:tc>
        <w:tc>
          <w:tcPr>
            <w:tcW w:w="1531" w:type="dxa"/>
            <w:vAlign w:val="center"/>
          </w:tcPr>
          <w:p w14:paraId="0219094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产品名称</w:t>
            </w:r>
          </w:p>
          <w:p w14:paraId="4E77F27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（注册证名称）</w:t>
            </w:r>
          </w:p>
        </w:tc>
        <w:tc>
          <w:tcPr>
            <w:tcW w:w="964" w:type="dxa"/>
            <w:vAlign w:val="center"/>
          </w:tcPr>
          <w:p w14:paraId="2B6A6A4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生产厂家</w:t>
            </w:r>
          </w:p>
        </w:tc>
        <w:tc>
          <w:tcPr>
            <w:tcW w:w="964" w:type="dxa"/>
            <w:vAlign w:val="center"/>
          </w:tcPr>
          <w:p w14:paraId="41091E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规格型号</w:t>
            </w:r>
          </w:p>
        </w:tc>
        <w:tc>
          <w:tcPr>
            <w:tcW w:w="964" w:type="dxa"/>
            <w:vAlign w:val="center"/>
          </w:tcPr>
          <w:p w14:paraId="73A4FAE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rPr>
              <w:t>注册证号</w:t>
            </w:r>
          </w:p>
        </w:tc>
        <w:tc>
          <w:tcPr>
            <w:tcW w:w="850" w:type="dxa"/>
            <w:vAlign w:val="center"/>
          </w:tcPr>
          <w:p w14:paraId="57D358E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lang w:eastAsia="zh-CN"/>
              </w:rPr>
            </w:pPr>
            <w:r>
              <w:rPr>
                <w:rFonts w:hint="eastAsia" w:ascii="黑体" w:hAnsi="黑体" w:eastAsia="黑体" w:cs="黑体"/>
                <w:kern w:val="2"/>
                <w:sz w:val="18"/>
                <w:szCs w:val="18"/>
                <w:lang w:eastAsia="zh-CN"/>
              </w:rPr>
              <w:t>供应商名称</w:t>
            </w:r>
          </w:p>
        </w:tc>
        <w:tc>
          <w:tcPr>
            <w:tcW w:w="1134" w:type="dxa"/>
            <w:vAlign w:val="center"/>
          </w:tcPr>
          <w:p w14:paraId="2A4341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南京市平台中标编码</w:t>
            </w:r>
          </w:p>
        </w:tc>
        <w:tc>
          <w:tcPr>
            <w:tcW w:w="1134" w:type="dxa"/>
            <w:vAlign w:val="center"/>
          </w:tcPr>
          <w:p w14:paraId="1A0A50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南京市医保编码（CL）</w:t>
            </w:r>
          </w:p>
        </w:tc>
        <w:tc>
          <w:tcPr>
            <w:tcW w:w="708" w:type="dxa"/>
            <w:vAlign w:val="center"/>
          </w:tcPr>
          <w:p w14:paraId="7BA8441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医保分类</w:t>
            </w:r>
          </w:p>
        </w:tc>
        <w:tc>
          <w:tcPr>
            <w:tcW w:w="1008" w:type="dxa"/>
            <w:vAlign w:val="center"/>
          </w:tcPr>
          <w:p w14:paraId="0ADF76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医保自付比例</w:t>
            </w:r>
          </w:p>
        </w:tc>
        <w:tc>
          <w:tcPr>
            <w:tcW w:w="855" w:type="dxa"/>
            <w:vAlign w:val="center"/>
          </w:tcPr>
          <w:p w14:paraId="18A4BCC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医保支付上线</w:t>
            </w:r>
          </w:p>
        </w:tc>
        <w:tc>
          <w:tcPr>
            <w:tcW w:w="1305" w:type="dxa"/>
            <w:vAlign w:val="center"/>
          </w:tcPr>
          <w:p w14:paraId="2A6410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贯标编码</w:t>
            </w:r>
          </w:p>
          <w:p w14:paraId="25D14B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（27位）</w:t>
            </w:r>
          </w:p>
        </w:tc>
        <w:tc>
          <w:tcPr>
            <w:tcW w:w="567" w:type="dxa"/>
            <w:vAlign w:val="center"/>
          </w:tcPr>
          <w:p w14:paraId="14B9649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单位</w:t>
            </w:r>
          </w:p>
        </w:tc>
        <w:tc>
          <w:tcPr>
            <w:tcW w:w="850" w:type="dxa"/>
            <w:vAlign w:val="center"/>
          </w:tcPr>
          <w:p w14:paraId="4CB763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中标价</w:t>
            </w:r>
          </w:p>
          <w:p w14:paraId="5C1447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c>
          <w:tcPr>
            <w:tcW w:w="850" w:type="dxa"/>
            <w:vAlign w:val="center"/>
          </w:tcPr>
          <w:p w14:paraId="50871BD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报价</w:t>
            </w:r>
          </w:p>
          <w:p w14:paraId="04F3A3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r>
      <w:tr w14:paraId="6B41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115628E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vertAlign w:val="baseline"/>
                <w:lang w:val="en-US" w:eastAsia="zh-CN"/>
              </w:rPr>
            </w:pPr>
            <w:r>
              <w:rPr>
                <w:rFonts w:hint="default" w:ascii="Times New Roman" w:hAnsi="Times New Roman" w:cs="Times New Roman"/>
                <w:b w:val="0"/>
                <w:bCs/>
                <w:kern w:val="2"/>
                <w:sz w:val="18"/>
                <w:szCs w:val="18"/>
                <w:vertAlign w:val="baseline"/>
                <w:lang w:val="en-US" w:eastAsia="zh-CN"/>
              </w:rPr>
              <w:t>1</w:t>
            </w:r>
          </w:p>
        </w:tc>
        <w:tc>
          <w:tcPr>
            <w:tcW w:w="1531" w:type="dxa"/>
          </w:tcPr>
          <w:p w14:paraId="4DC6545E">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D2F3A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76D73B16">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D76D0F1">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223F48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2760664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05DBF62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708" w:type="dxa"/>
          </w:tcPr>
          <w:p w14:paraId="564B764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008" w:type="dxa"/>
          </w:tcPr>
          <w:p w14:paraId="139CABD0">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5" w:type="dxa"/>
          </w:tcPr>
          <w:p w14:paraId="3F537253">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5" w:type="dxa"/>
          </w:tcPr>
          <w:p w14:paraId="27C27EB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567" w:type="dxa"/>
          </w:tcPr>
          <w:p w14:paraId="2539AEE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58B72A0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148F7FC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r>
    </w:tbl>
    <w:p w14:paraId="25FAA917">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rPr>
      </w:pPr>
      <w:r>
        <w:rPr>
          <w:rFonts w:hint="eastAsia" w:ascii="Calibri" w:hAnsi="Calibri" w:eastAsia="宋体" w:cs="Times New Roman"/>
          <w:b/>
          <w:kern w:val="2"/>
          <w:sz w:val="24"/>
          <w:szCs w:val="24"/>
        </w:rPr>
        <w:t>非单独收费耗材报价单</w:t>
      </w:r>
      <w:r>
        <w:rPr>
          <w:rFonts w:hint="eastAsia" w:ascii="Calibri" w:hAnsi="Calibri" w:cs="Times New Roman"/>
          <w:b/>
          <w:kern w:val="2"/>
          <w:sz w:val="24"/>
          <w:szCs w:val="24"/>
          <w:lang w:eastAsia="zh-CN"/>
        </w:rPr>
        <w:t>（试剂除外）</w:t>
      </w:r>
    </w:p>
    <w:p w14:paraId="1CBF25AA">
      <w:pPr>
        <w:pStyle w:val="13"/>
        <w:outlineLvl w:val="9"/>
        <w:rPr>
          <w:rFonts w:hint="default"/>
        </w:rPr>
      </w:pPr>
    </w:p>
    <w:tbl>
      <w:tblPr>
        <w:tblStyle w:val="35"/>
        <w:tblW w:w="14141" w:type="dxa"/>
        <w:tblInd w:w="-2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531"/>
        <w:gridCol w:w="964"/>
        <w:gridCol w:w="964"/>
        <w:gridCol w:w="964"/>
        <w:gridCol w:w="850"/>
        <w:gridCol w:w="1134"/>
        <w:gridCol w:w="1134"/>
        <w:gridCol w:w="1300"/>
        <w:gridCol w:w="1162"/>
        <w:gridCol w:w="1304"/>
        <w:gridCol w:w="567"/>
        <w:gridCol w:w="850"/>
        <w:gridCol w:w="850"/>
      </w:tblGrid>
      <w:tr w14:paraId="3613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7754791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序号</w:t>
            </w:r>
          </w:p>
        </w:tc>
        <w:tc>
          <w:tcPr>
            <w:tcW w:w="1531" w:type="dxa"/>
            <w:vAlign w:val="center"/>
          </w:tcPr>
          <w:p w14:paraId="323BDF5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产品名称</w:t>
            </w:r>
          </w:p>
          <w:p w14:paraId="1960607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（注册证名称）</w:t>
            </w:r>
          </w:p>
        </w:tc>
        <w:tc>
          <w:tcPr>
            <w:tcW w:w="964" w:type="dxa"/>
            <w:vAlign w:val="center"/>
          </w:tcPr>
          <w:p w14:paraId="3397C5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生产厂家</w:t>
            </w:r>
          </w:p>
        </w:tc>
        <w:tc>
          <w:tcPr>
            <w:tcW w:w="964" w:type="dxa"/>
            <w:vAlign w:val="center"/>
          </w:tcPr>
          <w:p w14:paraId="603A55C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规格型号</w:t>
            </w:r>
          </w:p>
        </w:tc>
        <w:tc>
          <w:tcPr>
            <w:tcW w:w="964" w:type="dxa"/>
            <w:vAlign w:val="center"/>
          </w:tcPr>
          <w:p w14:paraId="61FF194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rPr>
              <w:t>注册证号</w:t>
            </w:r>
          </w:p>
        </w:tc>
        <w:tc>
          <w:tcPr>
            <w:tcW w:w="850" w:type="dxa"/>
            <w:vAlign w:val="center"/>
          </w:tcPr>
          <w:p w14:paraId="3C5006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lang w:eastAsia="zh-CN"/>
              </w:rPr>
              <w:t>供应商名称</w:t>
            </w:r>
          </w:p>
        </w:tc>
        <w:tc>
          <w:tcPr>
            <w:tcW w:w="1134" w:type="dxa"/>
            <w:vAlign w:val="center"/>
          </w:tcPr>
          <w:p w14:paraId="712752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南京市平台中标编码</w:t>
            </w:r>
          </w:p>
        </w:tc>
        <w:tc>
          <w:tcPr>
            <w:tcW w:w="1134" w:type="dxa"/>
            <w:vAlign w:val="center"/>
          </w:tcPr>
          <w:p w14:paraId="25A2FC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南京市医保编码（CL）</w:t>
            </w:r>
          </w:p>
        </w:tc>
        <w:tc>
          <w:tcPr>
            <w:tcW w:w="1300" w:type="dxa"/>
            <w:vAlign w:val="center"/>
          </w:tcPr>
          <w:p w14:paraId="7A04A5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项目收费名称</w:t>
            </w:r>
          </w:p>
        </w:tc>
        <w:tc>
          <w:tcPr>
            <w:tcW w:w="1162" w:type="dxa"/>
            <w:vAlign w:val="center"/>
          </w:tcPr>
          <w:p w14:paraId="32575A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项目收费价格</w:t>
            </w:r>
          </w:p>
        </w:tc>
        <w:tc>
          <w:tcPr>
            <w:tcW w:w="1304" w:type="dxa"/>
            <w:vAlign w:val="center"/>
          </w:tcPr>
          <w:p w14:paraId="52FB8A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贯标编码（27位）</w:t>
            </w:r>
          </w:p>
        </w:tc>
        <w:tc>
          <w:tcPr>
            <w:tcW w:w="567" w:type="dxa"/>
            <w:vAlign w:val="center"/>
          </w:tcPr>
          <w:p w14:paraId="2D228DD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单位</w:t>
            </w:r>
          </w:p>
        </w:tc>
        <w:tc>
          <w:tcPr>
            <w:tcW w:w="850" w:type="dxa"/>
            <w:vAlign w:val="center"/>
          </w:tcPr>
          <w:p w14:paraId="380E1A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中标价</w:t>
            </w:r>
          </w:p>
          <w:p w14:paraId="5DE116F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c>
          <w:tcPr>
            <w:tcW w:w="850" w:type="dxa"/>
            <w:vAlign w:val="center"/>
          </w:tcPr>
          <w:p w14:paraId="0F809A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报价</w:t>
            </w:r>
          </w:p>
          <w:p w14:paraId="69B50D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r>
      <w:tr w14:paraId="1EED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5E55A0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vertAlign w:val="baseline"/>
                <w:lang w:val="en-US" w:eastAsia="zh-CN"/>
              </w:rPr>
            </w:pPr>
            <w:r>
              <w:rPr>
                <w:rFonts w:hint="default" w:ascii="Times New Roman" w:hAnsi="Times New Roman" w:cs="Times New Roman"/>
                <w:b w:val="0"/>
                <w:bCs/>
                <w:kern w:val="2"/>
                <w:sz w:val="18"/>
                <w:szCs w:val="18"/>
                <w:vertAlign w:val="baseline"/>
                <w:lang w:val="en-US" w:eastAsia="zh-CN"/>
              </w:rPr>
              <w:t>1</w:t>
            </w:r>
          </w:p>
        </w:tc>
        <w:tc>
          <w:tcPr>
            <w:tcW w:w="1531" w:type="dxa"/>
          </w:tcPr>
          <w:p w14:paraId="3CF680DD">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81B966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7B649F5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97709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326C965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5731AB8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115A06A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0" w:type="dxa"/>
          </w:tcPr>
          <w:p w14:paraId="0999C71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62" w:type="dxa"/>
          </w:tcPr>
          <w:p w14:paraId="2051C6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4" w:type="dxa"/>
          </w:tcPr>
          <w:p w14:paraId="3F20DAE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567" w:type="dxa"/>
          </w:tcPr>
          <w:p w14:paraId="55C6156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1C796F1A">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71A832C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r>
    </w:tbl>
    <w:p w14:paraId="1AAB046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240" w:lineRule="auto"/>
        <w:jc w:val="left"/>
        <w:textAlignment w:val="auto"/>
        <w:outlineLvl w:val="9"/>
        <w:rPr>
          <w:rFonts w:hint="eastAsia" w:ascii="宋体" w:hAnsi="宋体" w:eastAsia="宋体" w:cs="宋体"/>
          <w:b/>
          <w:color w:val="000000"/>
          <w:sz w:val="21"/>
          <w:szCs w:val="21"/>
          <w:highlight w:val="none"/>
          <w:lang w:val="en-US" w:eastAsia="zh-CN" w:bidi="ar-SA"/>
        </w:rPr>
      </w:pPr>
      <w:r>
        <w:rPr>
          <w:rFonts w:hint="eastAsia" w:ascii="Calibri" w:hAnsi="Calibri" w:eastAsia="宋体" w:cs="Times New Roman"/>
          <w:b/>
          <w:kern w:val="2"/>
          <w:sz w:val="24"/>
          <w:szCs w:val="24"/>
        </w:rPr>
        <w:t>试剂单项报价明细单</w:t>
      </w:r>
    </w:p>
    <w:tbl>
      <w:tblPr>
        <w:tblStyle w:val="35"/>
        <w:tblW w:w="0" w:type="auto"/>
        <w:tblInd w:w="-2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530"/>
        <w:gridCol w:w="960"/>
        <w:gridCol w:w="960"/>
        <w:gridCol w:w="960"/>
        <w:gridCol w:w="1185"/>
        <w:gridCol w:w="1335"/>
        <w:gridCol w:w="945"/>
        <w:gridCol w:w="960"/>
        <w:gridCol w:w="1211"/>
        <w:gridCol w:w="953"/>
        <w:gridCol w:w="1251"/>
        <w:gridCol w:w="1594"/>
      </w:tblGrid>
      <w:tr w14:paraId="215F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570" w:type="dxa"/>
            <w:vAlign w:val="center"/>
          </w:tcPr>
          <w:p w14:paraId="45645E2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序号</w:t>
            </w:r>
          </w:p>
        </w:tc>
        <w:tc>
          <w:tcPr>
            <w:tcW w:w="1530" w:type="dxa"/>
            <w:vAlign w:val="center"/>
          </w:tcPr>
          <w:p w14:paraId="0AB372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项目收费名称</w:t>
            </w:r>
          </w:p>
        </w:tc>
        <w:tc>
          <w:tcPr>
            <w:tcW w:w="960" w:type="dxa"/>
            <w:vAlign w:val="center"/>
          </w:tcPr>
          <w:p w14:paraId="74E3C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项目收费编码</w:t>
            </w:r>
          </w:p>
        </w:tc>
        <w:tc>
          <w:tcPr>
            <w:tcW w:w="960" w:type="dxa"/>
            <w:vAlign w:val="center"/>
          </w:tcPr>
          <w:p w14:paraId="622639E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项目收费价格</w:t>
            </w:r>
            <w:r>
              <w:rPr>
                <w:rFonts w:hint="eastAsia" w:ascii="黑体" w:hAnsi="黑体" w:eastAsia="黑体" w:cs="黑体"/>
                <w:color w:val="333333"/>
                <w:kern w:val="2"/>
                <w:sz w:val="18"/>
                <w:szCs w:val="18"/>
                <w:shd w:val="clear" w:color="auto" w:fill="FFFFFF"/>
                <w:lang w:eastAsia="zh-CN"/>
              </w:rPr>
              <w:t>（元）</w:t>
            </w:r>
          </w:p>
        </w:tc>
        <w:tc>
          <w:tcPr>
            <w:tcW w:w="960" w:type="dxa"/>
            <w:shd w:val="clear" w:color="auto" w:fill="auto"/>
            <w:vAlign w:val="center"/>
          </w:tcPr>
          <w:p w14:paraId="6F8837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项目包含试剂</w:t>
            </w:r>
            <w:r>
              <w:rPr>
                <w:rFonts w:hint="eastAsia" w:ascii="黑体" w:hAnsi="黑体" w:eastAsia="黑体" w:cs="黑体"/>
                <w:color w:val="333333"/>
                <w:kern w:val="2"/>
                <w:sz w:val="18"/>
                <w:szCs w:val="18"/>
                <w:shd w:val="clear" w:color="auto" w:fill="FFFFFF"/>
              </w:rPr>
              <w:t>注册证名称</w:t>
            </w:r>
          </w:p>
        </w:tc>
        <w:tc>
          <w:tcPr>
            <w:tcW w:w="1185" w:type="dxa"/>
            <w:shd w:val="clear" w:color="auto" w:fill="auto"/>
            <w:vAlign w:val="center"/>
          </w:tcPr>
          <w:p w14:paraId="07D550A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生产厂家</w:t>
            </w:r>
          </w:p>
        </w:tc>
        <w:tc>
          <w:tcPr>
            <w:tcW w:w="1335" w:type="dxa"/>
            <w:shd w:val="clear" w:color="auto" w:fill="auto"/>
            <w:vAlign w:val="center"/>
          </w:tcPr>
          <w:p w14:paraId="03B14F3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规格型号</w:t>
            </w:r>
          </w:p>
        </w:tc>
        <w:tc>
          <w:tcPr>
            <w:tcW w:w="945" w:type="dxa"/>
            <w:shd w:val="clear" w:color="auto" w:fill="auto"/>
            <w:vAlign w:val="center"/>
          </w:tcPr>
          <w:p w14:paraId="443968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注册证号</w:t>
            </w:r>
          </w:p>
        </w:tc>
        <w:tc>
          <w:tcPr>
            <w:tcW w:w="960" w:type="dxa"/>
            <w:vAlign w:val="center"/>
          </w:tcPr>
          <w:p w14:paraId="697DBA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中标编码</w:t>
            </w:r>
          </w:p>
        </w:tc>
        <w:tc>
          <w:tcPr>
            <w:tcW w:w="1211" w:type="dxa"/>
            <w:vAlign w:val="center"/>
          </w:tcPr>
          <w:p w14:paraId="177A04F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试剂中标价</w:t>
            </w:r>
            <w:r>
              <w:rPr>
                <w:rFonts w:hint="eastAsia" w:ascii="黑体" w:hAnsi="黑体" w:eastAsia="黑体" w:cs="黑体"/>
                <w:color w:val="333333"/>
                <w:kern w:val="2"/>
                <w:sz w:val="18"/>
                <w:szCs w:val="18"/>
                <w:shd w:val="clear" w:color="auto" w:fill="FFFFFF"/>
                <w:lang w:eastAsia="zh-CN"/>
              </w:rPr>
              <w:t>（元）</w:t>
            </w:r>
          </w:p>
        </w:tc>
        <w:tc>
          <w:tcPr>
            <w:tcW w:w="953" w:type="dxa"/>
            <w:vAlign w:val="center"/>
          </w:tcPr>
          <w:p w14:paraId="3F1C9DB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试剂报价</w:t>
            </w:r>
            <w:r>
              <w:rPr>
                <w:rFonts w:hint="eastAsia" w:ascii="黑体" w:hAnsi="黑体" w:eastAsia="黑体" w:cs="黑体"/>
                <w:color w:val="333333"/>
                <w:kern w:val="2"/>
                <w:sz w:val="18"/>
                <w:szCs w:val="18"/>
                <w:shd w:val="clear" w:color="auto" w:fill="FFFFFF"/>
                <w:lang w:eastAsia="zh-CN"/>
              </w:rPr>
              <w:t>（元）</w:t>
            </w:r>
          </w:p>
        </w:tc>
        <w:tc>
          <w:tcPr>
            <w:tcW w:w="1251" w:type="dxa"/>
            <w:vAlign w:val="center"/>
          </w:tcPr>
          <w:p w14:paraId="47DC56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单人份（或每ML）报价</w:t>
            </w:r>
            <w:r>
              <w:rPr>
                <w:rFonts w:hint="eastAsia" w:ascii="黑体" w:hAnsi="黑体" w:eastAsia="黑体" w:cs="黑体"/>
                <w:color w:val="333333"/>
                <w:kern w:val="2"/>
                <w:sz w:val="18"/>
                <w:szCs w:val="18"/>
                <w:shd w:val="clear" w:color="auto" w:fill="FFFFFF"/>
                <w:lang w:eastAsia="zh-CN"/>
              </w:rPr>
              <w:t>（元）</w:t>
            </w:r>
          </w:p>
        </w:tc>
        <w:tc>
          <w:tcPr>
            <w:tcW w:w="1594" w:type="dxa"/>
            <w:vAlign w:val="center"/>
          </w:tcPr>
          <w:p w14:paraId="6ADFA8E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单人份（或每ML）项目收费占比</w:t>
            </w:r>
          </w:p>
        </w:tc>
      </w:tr>
      <w:tr w14:paraId="3BBD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0" w:type="dxa"/>
            <w:vMerge w:val="restart"/>
            <w:vAlign w:val="center"/>
          </w:tcPr>
          <w:p w14:paraId="7A728F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1</w:t>
            </w:r>
          </w:p>
        </w:tc>
        <w:tc>
          <w:tcPr>
            <w:tcW w:w="1530" w:type="dxa"/>
            <w:vMerge w:val="restart"/>
            <w:vAlign w:val="center"/>
          </w:tcPr>
          <w:p w14:paraId="17F071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lang w:eastAsia="zh-CN"/>
              </w:rPr>
              <w:t>例：甲收费项目</w:t>
            </w:r>
          </w:p>
        </w:tc>
        <w:tc>
          <w:tcPr>
            <w:tcW w:w="960" w:type="dxa"/>
            <w:vMerge w:val="restart"/>
            <w:vAlign w:val="center"/>
          </w:tcPr>
          <w:p w14:paraId="7E472C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restart"/>
            <w:vAlign w:val="center"/>
          </w:tcPr>
          <w:p w14:paraId="0B9484A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eastAsia="zh-CN"/>
              </w:rPr>
              <w:t>例：</w:t>
            </w:r>
            <w:r>
              <w:rPr>
                <w:rFonts w:hint="eastAsia" w:ascii="黑体" w:hAnsi="黑体" w:eastAsia="黑体" w:cs="黑体"/>
                <w:color w:val="333333"/>
                <w:kern w:val="2"/>
                <w:sz w:val="18"/>
                <w:szCs w:val="18"/>
                <w:shd w:val="clear" w:color="auto" w:fill="FFFFFF"/>
                <w:lang w:val="en-US" w:eastAsia="zh-CN"/>
              </w:rPr>
              <w:t>100</w:t>
            </w:r>
          </w:p>
        </w:tc>
        <w:tc>
          <w:tcPr>
            <w:tcW w:w="960" w:type="dxa"/>
            <w:vAlign w:val="center"/>
          </w:tcPr>
          <w:p w14:paraId="5BB2BA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eastAsia="zh-CN"/>
              </w:rPr>
              <w:t>试剂</w:t>
            </w:r>
            <w:r>
              <w:rPr>
                <w:rFonts w:hint="eastAsia" w:ascii="黑体" w:hAnsi="黑体" w:eastAsia="黑体" w:cs="黑体"/>
                <w:color w:val="333333"/>
                <w:kern w:val="2"/>
                <w:sz w:val="18"/>
                <w:szCs w:val="18"/>
                <w:shd w:val="clear" w:color="auto" w:fill="FFFFFF"/>
                <w:lang w:val="en-US" w:eastAsia="zh-CN"/>
              </w:rPr>
              <w:t>A</w:t>
            </w:r>
          </w:p>
        </w:tc>
        <w:tc>
          <w:tcPr>
            <w:tcW w:w="1185" w:type="dxa"/>
            <w:noWrap/>
            <w:vAlign w:val="center"/>
          </w:tcPr>
          <w:p w14:paraId="72A544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34FCC4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546320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9DB0AC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633968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2C5F93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restart"/>
            <w:vAlign w:val="center"/>
          </w:tcPr>
          <w:p w14:paraId="699AD1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例：20</w:t>
            </w:r>
          </w:p>
        </w:tc>
        <w:tc>
          <w:tcPr>
            <w:tcW w:w="1594" w:type="dxa"/>
            <w:vMerge w:val="restart"/>
            <w:vAlign w:val="center"/>
          </w:tcPr>
          <w:p w14:paraId="735FC2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20%</w:t>
            </w:r>
          </w:p>
        </w:tc>
      </w:tr>
      <w:tr w14:paraId="5357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7D8A0D4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30" w:type="dxa"/>
            <w:vMerge w:val="continue"/>
            <w:noWrap/>
            <w:vAlign w:val="center"/>
          </w:tcPr>
          <w:p w14:paraId="342CC23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noWrap/>
            <w:vAlign w:val="center"/>
          </w:tcPr>
          <w:p w14:paraId="3423E5B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noWrap/>
            <w:vAlign w:val="center"/>
          </w:tcPr>
          <w:p w14:paraId="6031661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62275A4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rPr>
            </w:pPr>
            <w:r>
              <w:rPr>
                <w:rFonts w:hint="eastAsia" w:ascii="黑体" w:hAnsi="黑体" w:eastAsia="黑体" w:cs="黑体"/>
                <w:color w:val="333333"/>
                <w:kern w:val="2"/>
                <w:sz w:val="18"/>
                <w:szCs w:val="18"/>
                <w:shd w:val="clear" w:color="auto" w:fill="FFFFFF"/>
                <w:lang w:eastAsia="zh-CN"/>
              </w:rPr>
              <w:t>试剂</w:t>
            </w:r>
            <w:r>
              <w:rPr>
                <w:rFonts w:hint="eastAsia" w:ascii="黑体" w:hAnsi="黑体" w:eastAsia="黑体" w:cs="黑体"/>
                <w:color w:val="333333"/>
                <w:kern w:val="2"/>
                <w:sz w:val="18"/>
                <w:szCs w:val="18"/>
                <w:shd w:val="clear" w:color="auto" w:fill="FFFFFF"/>
                <w:lang w:val="en-US" w:eastAsia="zh-CN"/>
              </w:rPr>
              <w:t>B</w:t>
            </w:r>
          </w:p>
        </w:tc>
        <w:tc>
          <w:tcPr>
            <w:tcW w:w="1185" w:type="dxa"/>
            <w:noWrap/>
            <w:vAlign w:val="center"/>
          </w:tcPr>
          <w:p w14:paraId="1AC007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53F816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noWrap/>
            <w:vAlign w:val="center"/>
          </w:tcPr>
          <w:p w14:paraId="6F80E3A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3EA992B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0A6F7B9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71E4E6E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757C36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394627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455A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6BEDAB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30" w:type="dxa"/>
            <w:vMerge w:val="continue"/>
            <w:vAlign w:val="center"/>
          </w:tcPr>
          <w:p w14:paraId="17C6234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274318A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5415A6A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shd w:val="clear" w:color="auto" w:fill="auto"/>
            <w:vAlign w:val="center"/>
          </w:tcPr>
          <w:p w14:paraId="5DA7CC7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不够增行</w:t>
            </w:r>
          </w:p>
        </w:tc>
        <w:tc>
          <w:tcPr>
            <w:tcW w:w="1185" w:type="dxa"/>
            <w:noWrap/>
            <w:vAlign w:val="center"/>
          </w:tcPr>
          <w:p w14:paraId="095B724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43BFC7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5C511F9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2F3502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1FB46A2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6758788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481505F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6992F2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1A69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restart"/>
            <w:vAlign w:val="center"/>
          </w:tcPr>
          <w:p w14:paraId="7D05EC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2</w:t>
            </w:r>
          </w:p>
        </w:tc>
        <w:tc>
          <w:tcPr>
            <w:tcW w:w="1530" w:type="dxa"/>
            <w:vMerge w:val="restart"/>
            <w:vAlign w:val="center"/>
          </w:tcPr>
          <w:p w14:paraId="220C873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restart"/>
            <w:vAlign w:val="center"/>
          </w:tcPr>
          <w:p w14:paraId="1728305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restart"/>
            <w:vAlign w:val="center"/>
          </w:tcPr>
          <w:p w14:paraId="11BD343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0A9657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49C4AD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02EDFA0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2032813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1B42E36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498CFDD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5207C15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restart"/>
            <w:vAlign w:val="center"/>
          </w:tcPr>
          <w:p w14:paraId="17F8385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restart"/>
            <w:vAlign w:val="center"/>
          </w:tcPr>
          <w:p w14:paraId="32A656C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20AD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00B54A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vMerge w:val="continue"/>
            <w:vAlign w:val="center"/>
          </w:tcPr>
          <w:p w14:paraId="173D06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1D1B047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052D9B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6DB8830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682358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2B76AE4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3FFD76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4F0D9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22D530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18A98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36C82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1E1AB2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6D3F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FA2FC4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vMerge w:val="continue"/>
            <w:vAlign w:val="center"/>
          </w:tcPr>
          <w:p w14:paraId="63A159E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011DC6E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6F9F6D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02FEC2B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532BACE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E03052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217C17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BD85D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436E38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7D2A86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65E99E8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1D43D3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4CAF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Align w:val="center"/>
          </w:tcPr>
          <w:p w14:paraId="73DB7DE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shd w:val="clear" w:color="auto" w:fill="auto"/>
            <w:vAlign w:val="center"/>
          </w:tcPr>
          <w:p w14:paraId="746DD17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不够增行</w:t>
            </w:r>
          </w:p>
        </w:tc>
        <w:tc>
          <w:tcPr>
            <w:tcW w:w="960" w:type="dxa"/>
            <w:vAlign w:val="center"/>
          </w:tcPr>
          <w:p w14:paraId="3A73E88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390B78A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7D42BC3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2B7B7D7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570819E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6B51AD8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6EC0A68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26AFD1B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8CB1A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Align w:val="center"/>
          </w:tcPr>
          <w:p w14:paraId="541162C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Align w:val="center"/>
          </w:tcPr>
          <w:p w14:paraId="36A084D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71F8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20" w:type="dxa"/>
            <w:gridSpan w:val="12"/>
            <w:vAlign w:val="center"/>
          </w:tcPr>
          <w:p w14:paraId="1F954897">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rPr>
            </w:pPr>
            <w:r>
              <w:rPr>
                <w:rFonts w:hint="eastAsia" w:ascii="黑体" w:hAnsi="黑体" w:eastAsia="黑体" w:cs="黑体"/>
                <w:b/>
                <w:bCs/>
                <w:sz w:val="20"/>
                <w:szCs w:val="21"/>
              </w:rPr>
              <w:t>合计比值</w:t>
            </w:r>
          </w:p>
        </w:tc>
        <w:tc>
          <w:tcPr>
            <w:tcW w:w="1594" w:type="dxa"/>
            <w:vAlign w:val="center"/>
          </w:tcPr>
          <w:p w14:paraId="3D0E8B05">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rPr>
            </w:pPr>
          </w:p>
        </w:tc>
      </w:tr>
      <w:tr w14:paraId="0D75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20" w:type="dxa"/>
            <w:gridSpan w:val="12"/>
            <w:vAlign w:val="top"/>
          </w:tcPr>
          <w:p w14:paraId="0B39196B">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rPr>
            </w:pPr>
            <w:r>
              <w:rPr>
                <w:rFonts w:hint="eastAsia" w:ascii="黑体" w:hAnsi="黑体" w:eastAsia="黑体" w:cs="黑体"/>
                <w:b/>
                <w:bCs/>
                <w:sz w:val="20"/>
                <w:szCs w:val="21"/>
              </w:rPr>
              <w:t>项目收费平均值</w:t>
            </w:r>
          </w:p>
          <w:p w14:paraId="5252FF2E">
            <w:pPr>
              <w:keepNext w:val="0"/>
              <w:keepLines w:val="0"/>
              <w:pageBreakBefore w:val="0"/>
              <w:widowControl/>
              <w:kinsoku/>
              <w:wordWrap/>
              <w:overflowPunct/>
              <w:topLinePunct w:val="0"/>
              <w:autoSpaceDE/>
              <w:autoSpaceDN/>
              <w:bidi w:val="0"/>
              <w:adjustRightInd/>
              <w:snapToGrid w:val="0"/>
              <w:spacing w:after="0" w:line="240" w:lineRule="auto"/>
              <w:ind w:firstLine="482"/>
              <w:jc w:val="right"/>
              <w:textAlignment w:val="auto"/>
              <w:rPr>
                <w:rFonts w:hint="eastAsia" w:ascii="黑体" w:hAnsi="黑体" w:eastAsia="黑体" w:cs="黑体"/>
                <w:b/>
                <w:bCs/>
                <w:color w:val="FF0000"/>
                <w:kern w:val="0"/>
                <w:sz w:val="20"/>
                <w:szCs w:val="20"/>
              </w:rPr>
            </w:pPr>
            <w:r>
              <w:rPr>
                <w:rFonts w:hint="eastAsia" w:ascii="黑体" w:hAnsi="黑体" w:eastAsia="黑体" w:cs="黑体"/>
                <w:b w:val="0"/>
                <w:bCs w:val="0"/>
                <w:color w:val="FF0000"/>
                <w:sz w:val="20"/>
                <w:szCs w:val="18"/>
              </w:rPr>
              <w:t>*项目收费平均值=单人份（或每ML）项目收费占比合计/填报</w:t>
            </w:r>
            <w:r>
              <w:rPr>
                <w:rFonts w:hint="eastAsia" w:ascii="黑体" w:hAnsi="黑体" w:eastAsia="黑体" w:cs="黑体"/>
                <w:b w:val="0"/>
                <w:bCs w:val="0"/>
                <w:color w:val="FF0000"/>
                <w:sz w:val="20"/>
                <w:szCs w:val="18"/>
                <w:lang w:eastAsia="zh-CN"/>
              </w:rPr>
              <w:t>项目</w:t>
            </w:r>
            <w:r>
              <w:rPr>
                <w:rFonts w:hint="eastAsia" w:ascii="黑体" w:hAnsi="黑体" w:eastAsia="黑体" w:cs="黑体"/>
                <w:b w:val="0"/>
                <w:bCs w:val="0"/>
                <w:color w:val="FF0000"/>
                <w:sz w:val="20"/>
                <w:szCs w:val="18"/>
              </w:rPr>
              <w:t>总数量</w:t>
            </w:r>
            <w:r>
              <w:rPr>
                <w:rFonts w:hint="eastAsia" w:ascii="黑体" w:hAnsi="黑体" w:eastAsia="黑体" w:cs="黑体"/>
                <w:b w:val="0"/>
                <w:bCs w:val="0"/>
                <w:color w:val="FF0000"/>
                <w:sz w:val="20"/>
                <w:szCs w:val="18"/>
                <w:lang w:eastAsia="zh-CN"/>
              </w:rPr>
              <w:t>，</w:t>
            </w:r>
            <w:r>
              <w:rPr>
                <w:rFonts w:hint="eastAsia" w:ascii="黑体" w:hAnsi="黑体" w:eastAsia="黑体" w:cs="黑体"/>
                <w:b w:val="0"/>
                <w:bCs w:val="0"/>
                <w:color w:val="FF0000"/>
                <w:sz w:val="20"/>
                <w:szCs w:val="18"/>
              </w:rPr>
              <w:t>结果保留两位小数</w:t>
            </w:r>
          </w:p>
        </w:tc>
        <w:tc>
          <w:tcPr>
            <w:tcW w:w="1594" w:type="dxa"/>
            <w:vAlign w:val="center"/>
          </w:tcPr>
          <w:p w14:paraId="55147914">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rPr>
            </w:pPr>
          </w:p>
        </w:tc>
      </w:tr>
    </w:tbl>
    <w:p w14:paraId="407FA9D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outlineLvl w:val="9"/>
        <w:rPr>
          <w:rFonts w:hint="eastAsia" w:ascii="宋体" w:hAnsi="宋体" w:cs="宋体"/>
          <w:b/>
          <w:color w:val="000000"/>
          <w:sz w:val="21"/>
          <w:szCs w:val="21"/>
          <w:highlight w:val="none"/>
          <w:lang w:val="en-US" w:eastAsia="zh-CN"/>
        </w:rPr>
      </w:pPr>
    </w:p>
    <w:p w14:paraId="5BBD5BC4">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33DF8511">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eastAsia" w:ascii="宋体" w:hAnsi="宋体" w:eastAsia="宋体" w:cs="宋体"/>
          <w:b/>
          <w:color w:val="000000"/>
          <w:sz w:val="18"/>
          <w:szCs w:val="18"/>
          <w:highlight w:val="none"/>
          <w:lang w:val="en-US" w:eastAsia="zh-CN" w:bidi="ar-SA"/>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519B062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20"/>
          <w:szCs w:val="20"/>
          <w:highlight w:val="none"/>
          <w:lang w:val="en-US" w:eastAsia="zh-CN" w:bidi="ar-SA"/>
        </w:rPr>
        <w:sectPr>
          <w:pgSz w:w="16838" w:h="11906" w:orient="landscape"/>
          <w:pgMar w:top="1236" w:right="1440" w:bottom="1236" w:left="1440" w:header="851" w:footer="992" w:gutter="0"/>
          <w:pgNumType w:fmt="decimal"/>
          <w:cols w:space="1701" w:num="1"/>
          <w:docGrid w:linePitch="360" w:charSpace="0"/>
        </w:sectPr>
      </w:pPr>
    </w:p>
    <w:p w14:paraId="2BFC1E1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产品资质</w:t>
      </w:r>
    </w:p>
    <w:p w14:paraId="2D16069A">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33D3DA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供应商资质</w:t>
      </w:r>
    </w:p>
    <w:p w14:paraId="4415642C">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044F478">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生产厂家资质</w:t>
      </w:r>
    </w:p>
    <w:p w14:paraId="767E611B">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52D56402">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生产厂家逐级授权书</w:t>
      </w:r>
    </w:p>
    <w:p w14:paraId="5F4AFF33">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B4EB91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法人授权书</w:t>
      </w:r>
    </w:p>
    <w:p w14:paraId="45A1682E">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6A6F57DA">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F9C769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1650388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14DAB9F5">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4D604173">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1116BDD">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3CD030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71EBD76">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71C54FD4">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00D7C1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6867DD57">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6FBDE882">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62DDA422">
      <w:pPr>
        <w:widowControl w:val="0"/>
        <w:numPr>
          <w:ilvl w:val="0"/>
          <w:numId w:val="0"/>
        </w:numPr>
        <w:shd w:val="clear" w:color="auto" w:fill="auto"/>
        <w:spacing w:before="156" w:after="156" w:line="360" w:lineRule="auto"/>
        <w:jc w:val="left"/>
        <w:outlineLvl w:val="9"/>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1ED06AB6">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054426FF">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产品说明书</w:t>
      </w:r>
    </w:p>
    <w:p w14:paraId="49942278">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7B288DC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彩页</w:t>
      </w:r>
      <w:r>
        <w:rPr>
          <w:rFonts w:hint="eastAsia" w:ascii="宋体" w:hAnsi="宋体" w:cs="宋体"/>
          <w:b w:val="0"/>
          <w:bCs/>
          <w:color w:val="000000"/>
          <w:sz w:val="28"/>
          <w:szCs w:val="28"/>
          <w:highlight w:val="none"/>
          <w:lang w:val="en-US" w:eastAsia="zh-CN" w:bidi="ar-SA"/>
        </w:rPr>
        <w:t>（或现场提供样品）</w:t>
      </w:r>
    </w:p>
    <w:p w14:paraId="6788E239">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7945C0D5">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44E2EB03">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7C114825">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E8BD50F">
            <w:pPr>
              <w:pStyle w:val="332"/>
              <w:shd w:val="clear" w:color="auto" w:fill="auto"/>
              <w:jc w:val="center"/>
              <w:outlineLvl w:val="9"/>
              <w:rPr>
                <w:color w:val="000000"/>
                <w:szCs w:val="21"/>
                <w:highlight w:val="none"/>
              </w:rPr>
            </w:pPr>
            <w:r>
              <w:rPr>
                <w:rFonts w:hint="eastAsia"/>
                <w:b/>
                <w:bCs/>
                <w:color w:val="000000"/>
                <w:szCs w:val="21"/>
                <w:highlight w:val="none"/>
                <w:lang w:eastAsia="zh-CN"/>
              </w:rPr>
              <w:t>耗材</w:t>
            </w:r>
            <w:r>
              <w:rPr>
                <w:rFonts w:hint="eastAsia"/>
                <w:b/>
                <w:bCs/>
                <w:color w:val="000000"/>
                <w:szCs w:val="21"/>
                <w:highlight w:val="none"/>
                <w:lang w:val="en-US" w:eastAsia="zh-CN"/>
              </w:rPr>
              <w:t>/试剂</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5A3A35F">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3C13526">
            <w:pPr>
              <w:pStyle w:val="332"/>
              <w:shd w:val="clear" w:color="auto" w:fill="auto"/>
              <w:spacing w:line="272" w:lineRule="exact"/>
              <w:ind w:right="94" w:rightChars="0"/>
              <w:jc w:val="center"/>
              <w:outlineLvl w:val="9"/>
              <w:rPr>
                <w:rFonts w:hint="eastAsia" w:eastAsia="宋体"/>
                <w:color w:val="000000"/>
                <w:szCs w:val="21"/>
                <w:highlight w:val="none"/>
                <w:lang w:eastAsia="zh-CN"/>
              </w:rPr>
            </w:pPr>
            <w:r>
              <w:rPr>
                <w:rFonts w:hint="eastAsia"/>
                <w:b/>
                <w:bCs/>
                <w:color w:val="000000"/>
                <w:szCs w:val="21"/>
                <w:highlight w:val="none"/>
                <w:lang w:eastAsia="zh-CN"/>
              </w:rPr>
              <w:t>生产厂家</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3BBA7088">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注册证号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A605B3B">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日期</w:t>
            </w:r>
          </w:p>
        </w:tc>
      </w:tr>
      <w:tr w14:paraId="6D2AD9AF">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60CE0230">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EE400E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67B24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D9F9C57">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6B95030">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062036B">
            <w:pPr>
              <w:shd w:val="clear" w:color="auto" w:fill="auto"/>
              <w:jc w:val="center"/>
              <w:outlineLvl w:val="9"/>
              <w:rPr>
                <w:color w:val="000000"/>
                <w:highlight w:val="none"/>
              </w:rPr>
            </w:pPr>
          </w:p>
        </w:tc>
      </w:tr>
      <w:tr w14:paraId="6F114E28">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77AF139">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CB4B86">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18D84D3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6DD30BD5">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446B47B">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88A758C">
            <w:pPr>
              <w:shd w:val="clear" w:color="auto" w:fill="auto"/>
              <w:jc w:val="center"/>
              <w:outlineLvl w:val="9"/>
              <w:rPr>
                <w:color w:val="000000"/>
                <w:highlight w:val="none"/>
              </w:rPr>
            </w:pPr>
          </w:p>
        </w:tc>
      </w:tr>
      <w:tr w14:paraId="253CA427">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B6EF93C">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5BE9C65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666A79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E5AAD99">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7956B798">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5208F21">
            <w:pPr>
              <w:shd w:val="clear" w:color="auto" w:fill="auto"/>
              <w:jc w:val="center"/>
              <w:outlineLvl w:val="9"/>
              <w:rPr>
                <w:color w:val="000000"/>
                <w:highlight w:val="none"/>
              </w:rPr>
            </w:pPr>
          </w:p>
        </w:tc>
      </w:tr>
      <w:tr w14:paraId="15119F90">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924846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61A99F">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F26D532">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52D98E80">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08F8963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D472389">
            <w:pPr>
              <w:shd w:val="clear" w:color="auto" w:fill="auto"/>
              <w:jc w:val="center"/>
              <w:outlineLvl w:val="9"/>
              <w:rPr>
                <w:color w:val="000000"/>
                <w:highlight w:val="none"/>
              </w:rPr>
            </w:pPr>
          </w:p>
        </w:tc>
      </w:tr>
      <w:tr w14:paraId="51862B0F">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4AD1174A">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FC02BC0">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B83DCA">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692C6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C41386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9EB3E9B">
            <w:pPr>
              <w:shd w:val="clear" w:color="auto" w:fill="auto"/>
              <w:jc w:val="center"/>
              <w:outlineLvl w:val="9"/>
              <w:rPr>
                <w:color w:val="000000"/>
                <w:highlight w:val="none"/>
              </w:rPr>
            </w:pPr>
          </w:p>
        </w:tc>
      </w:tr>
    </w:tbl>
    <w:p w14:paraId="1D0E3CAC">
      <w:pPr>
        <w:shd w:val="clear" w:color="auto" w:fill="auto"/>
        <w:spacing w:before="1"/>
        <w:outlineLvl w:val="9"/>
        <w:rPr>
          <w:rFonts w:ascii="宋体" w:hAnsi="宋体" w:cs="宋体"/>
          <w:b/>
          <w:bCs/>
          <w:color w:val="000000"/>
          <w:sz w:val="23"/>
          <w:szCs w:val="23"/>
          <w:highlight w:val="none"/>
        </w:rPr>
      </w:pPr>
    </w:p>
    <w:p w14:paraId="2B29A034">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39C4AD8D">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53FFA5F6">
      <w:pPr>
        <w:widowControl/>
        <w:shd w:val="clear" w:color="auto" w:fill="auto"/>
        <w:spacing w:line="360" w:lineRule="auto"/>
        <w:jc w:val="left"/>
        <w:outlineLvl w:val="9"/>
        <w:rPr>
          <w:rFonts w:hint="eastAsia" w:ascii="宋体" w:hAnsi="宋体" w:cs="宋体"/>
          <w:color w:val="000000"/>
          <w:highlight w:val="none"/>
        </w:rPr>
      </w:pPr>
    </w:p>
    <w:p w14:paraId="2053C2BB">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AF52B63">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3D110BE5">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合同、供货发票、送货单等相关资料</w:t>
      </w:r>
      <w:r>
        <w:rPr>
          <w:rFonts w:hint="eastAsia" w:ascii="宋体" w:hAnsi="宋体" w:cs="宋体"/>
          <w:b/>
          <w:bCs/>
          <w:color w:val="000000"/>
          <w:sz w:val="24"/>
          <w:szCs w:val="24"/>
          <w:highlight w:val="none"/>
          <w:lang w:val="en-US" w:eastAsia="zh-CN"/>
        </w:rPr>
        <w:t>（内容清晰可见，否者视为无效）</w:t>
      </w:r>
    </w:p>
    <w:p w14:paraId="20904C3C">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ascii="黑体" w:hAnsi="黑体" w:eastAsia="黑体" w:cs="黑体"/>
          <w:bCs/>
          <w:sz w:val="32"/>
          <w:szCs w:val="32"/>
        </w:rPr>
        <w:t>配送服务承诺书</w:t>
      </w:r>
    </w:p>
    <w:p w14:paraId="0DD9A6EC">
      <w:pPr>
        <w:rPr>
          <w:sz w:val="24"/>
          <w:szCs w:val="24"/>
        </w:rPr>
      </w:pPr>
    </w:p>
    <w:p w14:paraId="71E56880">
      <w:pPr>
        <w:pStyle w:val="364"/>
        <w:spacing w:line="360" w:lineRule="auto"/>
        <w:outlineLvl w:val="1"/>
        <w:rPr>
          <w:rFonts w:ascii="仿宋" w:hAnsi="仿宋" w:eastAsia="仿宋" w:cs="仿宋"/>
          <w:b w:val="0"/>
          <w:sz w:val="24"/>
        </w:rPr>
      </w:pPr>
      <w:r>
        <w:rPr>
          <w:rFonts w:hint="eastAsia" w:ascii="仿宋" w:hAnsi="仿宋" w:eastAsia="仿宋" w:cs="仿宋"/>
          <w:b w:val="0"/>
          <w:sz w:val="24"/>
          <w:u w:val="none"/>
          <w:lang w:eastAsia="zh-CN"/>
        </w:rPr>
        <w:t>南京市江宁医院</w:t>
      </w:r>
      <w:r>
        <w:rPr>
          <w:rFonts w:hint="eastAsia" w:ascii="仿宋" w:hAnsi="仿宋" w:eastAsia="仿宋" w:cs="仿宋"/>
          <w:b w:val="0"/>
          <w:sz w:val="24"/>
        </w:rPr>
        <w:t>：</w:t>
      </w:r>
    </w:p>
    <w:p w14:paraId="0D7CACC8">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根据已收到的项目编号为</w:t>
      </w:r>
      <w:r>
        <w:rPr>
          <w:rFonts w:hint="eastAsia" w:ascii="仿宋" w:hAnsi="仿宋" w:eastAsia="仿宋" w:cs="仿宋"/>
          <w:b w:val="0"/>
          <w:sz w:val="24"/>
          <w:u w:val="single"/>
        </w:rPr>
        <w:t>（项目编号）</w:t>
      </w:r>
      <w:r>
        <w:rPr>
          <w:rFonts w:hint="eastAsia" w:ascii="仿宋" w:hAnsi="仿宋" w:eastAsia="仿宋" w:cs="仿宋"/>
          <w:b w:val="0"/>
          <w:sz w:val="24"/>
        </w:rPr>
        <w:t>的</w:t>
      </w:r>
      <w:r>
        <w:rPr>
          <w:rFonts w:hint="eastAsia" w:ascii="仿宋" w:hAnsi="仿宋" w:eastAsia="仿宋" w:cs="仿宋"/>
          <w:b w:val="0"/>
          <w:sz w:val="24"/>
          <w:u w:val="single"/>
        </w:rPr>
        <w:t>（项目名称）</w:t>
      </w:r>
      <w:r>
        <w:rPr>
          <w:rFonts w:hint="eastAsia" w:ascii="仿宋" w:hAnsi="仿宋" w:eastAsia="仿宋" w:cs="仿宋"/>
          <w:b w:val="0"/>
          <w:sz w:val="24"/>
        </w:rPr>
        <w:t>的</w:t>
      </w:r>
      <w:r>
        <w:rPr>
          <w:rFonts w:hint="eastAsia" w:ascii="仿宋" w:hAnsi="仿宋" w:eastAsia="仿宋" w:cs="仿宋"/>
          <w:b w:val="0"/>
          <w:sz w:val="24"/>
          <w:lang w:eastAsia="zh-CN"/>
        </w:rPr>
        <w:t>磋商</w:t>
      </w:r>
      <w:r>
        <w:rPr>
          <w:rFonts w:hint="eastAsia" w:ascii="仿宋" w:hAnsi="仿宋" w:eastAsia="仿宋" w:cs="仿宋"/>
          <w:b w:val="0"/>
          <w:sz w:val="24"/>
        </w:rPr>
        <w:t>文件，我方在参加本项目</w:t>
      </w:r>
      <w:r>
        <w:rPr>
          <w:rFonts w:hint="eastAsia" w:ascii="仿宋" w:hAnsi="仿宋" w:eastAsia="仿宋" w:cs="仿宋"/>
          <w:b w:val="0"/>
          <w:sz w:val="24"/>
          <w:lang w:eastAsia="zh-CN"/>
        </w:rPr>
        <w:t>院内磋商</w:t>
      </w:r>
      <w:r>
        <w:rPr>
          <w:rFonts w:hint="eastAsia" w:ascii="仿宋" w:hAnsi="仿宋" w:eastAsia="仿宋" w:cs="仿宋"/>
          <w:b w:val="0"/>
          <w:sz w:val="24"/>
        </w:rPr>
        <w:t>活动中，配合贵院规范配送服务及SPD供应链管理工作，自愿遵守医院各项配送管理，郑重作出如下承诺：</w:t>
      </w:r>
    </w:p>
    <w:p w14:paraId="0B12C916">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1.我方配送服务使用在院已开户的配送公司，不私自委托未在院开户的配送单位。如我方无合规在院配送能力或原有配送无法正常开展，我方自愿配合管理，转接已在院配送供货单位进行配送，主动配合交接，保障物资供应不断档。</w:t>
      </w:r>
    </w:p>
    <w:p w14:paraId="59010957">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2</w:t>
      </w:r>
      <w:r>
        <w:rPr>
          <w:rFonts w:ascii="仿宋" w:hAnsi="仿宋" w:eastAsia="仿宋" w:cs="仿宋"/>
          <w:b w:val="0"/>
          <w:sz w:val="24"/>
        </w:rPr>
        <w:t>.</w:t>
      </w:r>
      <w:r>
        <w:rPr>
          <w:rFonts w:hint="eastAsia" w:ascii="仿宋" w:hAnsi="仿宋" w:eastAsia="仿宋" w:cs="仿宋"/>
          <w:b w:val="0"/>
          <w:sz w:val="24"/>
        </w:rPr>
        <w:t>我方自愿完全服从医院SPD运营管理，严格遵守医院SPD配送流程、管理制度及各项作业要求，按系统指令完成物资配送、入库交接、数据填报、台账核对等工作，确保供应链规范、可追溯。</w:t>
      </w:r>
    </w:p>
    <w:p w14:paraId="28560775">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3</w:t>
      </w:r>
      <w:r>
        <w:rPr>
          <w:rFonts w:ascii="仿宋" w:hAnsi="仿宋" w:eastAsia="仿宋" w:cs="仿宋"/>
          <w:b w:val="0"/>
          <w:sz w:val="24"/>
        </w:rPr>
        <w:t>.</w:t>
      </w:r>
      <w:r>
        <w:rPr>
          <w:rFonts w:hint="eastAsia" w:ascii="仿宋" w:hAnsi="仿宋" w:eastAsia="仿宋" w:cs="仿宋"/>
          <w:b w:val="0"/>
          <w:sz w:val="24"/>
        </w:rPr>
        <w:t>我方保证物资配送及时、准确、完好，应急物资优先配送，杜绝错送、漏送、延迟配送，确保物资质量、包装、效期符合医院入库标准。</w:t>
      </w:r>
    </w:p>
    <w:p w14:paraId="5D6391CA">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4</w:t>
      </w:r>
      <w:r>
        <w:rPr>
          <w:rFonts w:ascii="仿宋" w:hAnsi="仿宋" w:eastAsia="仿宋" w:cs="仿宋"/>
          <w:b w:val="0"/>
          <w:sz w:val="24"/>
        </w:rPr>
        <w:t>.</w:t>
      </w:r>
      <w:r>
        <w:rPr>
          <w:rFonts w:hint="eastAsia" w:ascii="仿宋" w:hAnsi="仿宋" w:eastAsia="仿宋" w:cs="仿宋"/>
          <w:b w:val="0"/>
          <w:sz w:val="24"/>
        </w:rPr>
        <w:t>我方如存在不服从SPD管理、私自更换配送主体、配送不及时、物资质量不达标及拒不整改等违规行为，愿意承担由此产生的全部责任，赔偿医院相关损失，并接受医院考核处罚、暂停供货、终止合作等处理。</w:t>
      </w:r>
    </w:p>
    <w:p w14:paraId="43B66720">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本单位承诺以上内容真实有效，若经查实存在虚假陈述，愿意承担由此产生的一切法律责任和后果，包括但不限于取消参与资格、中标（成交）无效等。</w:t>
      </w:r>
    </w:p>
    <w:p w14:paraId="6FE7A327">
      <w:pPr>
        <w:pStyle w:val="365"/>
        <w:spacing w:line="360" w:lineRule="auto"/>
        <w:ind w:firstLine="480"/>
        <w:rPr>
          <w:rFonts w:ascii="仿宋" w:hAnsi="仿宋" w:eastAsia="仿宋" w:cs="仿宋"/>
          <w:sz w:val="24"/>
        </w:rPr>
      </w:pPr>
    </w:p>
    <w:p w14:paraId="246B1451">
      <w:pPr>
        <w:pStyle w:val="365"/>
        <w:spacing w:line="360" w:lineRule="auto"/>
        <w:ind w:firstLine="480"/>
        <w:jc w:val="right"/>
        <w:rPr>
          <w:rFonts w:ascii="仿宋" w:hAnsi="仿宋" w:eastAsia="仿宋" w:cs="仿宋"/>
          <w:b w:val="0"/>
          <w:bCs/>
          <w:sz w:val="24"/>
        </w:rPr>
      </w:pPr>
      <w:r>
        <w:rPr>
          <w:rFonts w:hint="eastAsia" w:ascii="仿宋" w:hAnsi="仿宋" w:eastAsia="仿宋" w:cs="仿宋"/>
          <w:b w:val="0"/>
          <w:bCs/>
          <w:sz w:val="24"/>
        </w:rPr>
        <w:t xml:space="preserve">供应商名称： </w:t>
      </w:r>
      <w:r>
        <w:rPr>
          <w:rFonts w:hint="eastAsia" w:ascii="仿宋" w:hAnsi="仿宋" w:eastAsia="仿宋" w:cs="仿宋"/>
          <w:b w:val="0"/>
          <w:bCs/>
          <w:sz w:val="24"/>
          <w:u w:val="single"/>
        </w:rPr>
        <w:t xml:space="preserve">          </w:t>
      </w:r>
      <w:r>
        <w:rPr>
          <w:rFonts w:hint="eastAsia" w:ascii="仿宋" w:hAnsi="仿宋" w:eastAsia="仿宋" w:cs="仿宋"/>
          <w:b w:val="0"/>
          <w:bCs/>
          <w:color w:val="000000"/>
          <w:sz w:val="24"/>
        </w:rPr>
        <w:t>（盖公章）</w:t>
      </w:r>
    </w:p>
    <w:p w14:paraId="3AF738B9">
      <w:pPr>
        <w:pStyle w:val="365"/>
        <w:spacing w:line="360" w:lineRule="auto"/>
        <w:ind w:firstLine="480"/>
        <w:jc w:val="right"/>
        <w:rPr>
          <w:rFonts w:ascii="仿宋" w:hAnsi="仿宋" w:eastAsia="仿宋" w:cs="仿宋"/>
          <w:b w:val="0"/>
          <w:bCs/>
          <w:sz w:val="24"/>
        </w:rPr>
      </w:pPr>
      <w:r>
        <w:rPr>
          <w:rFonts w:hint="eastAsia" w:ascii="仿宋" w:hAnsi="仿宋" w:eastAsia="仿宋" w:cs="仿宋"/>
          <w:b w:val="0"/>
          <w:bCs/>
          <w:sz w:val="24"/>
        </w:rPr>
        <w:t>日期：    年    月   日</w:t>
      </w:r>
    </w:p>
    <w:p w14:paraId="5170CDE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lang w:val="zh-CN" w:eastAsia="zh-CN"/>
        </w:rPr>
      </w:pPr>
      <w:r>
        <w:rPr>
          <w:rFonts w:hint="eastAsia" w:ascii="宋体" w:hAnsi="宋体" w:cs="宋体"/>
          <w:b/>
          <w:color w:val="000000"/>
          <w:sz w:val="32"/>
          <w:szCs w:val="32"/>
          <w:highlight w:val="none"/>
          <w:lang w:val="en-US" w:eastAsia="zh-CN" w:bidi="ar-SA"/>
        </w:rPr>
        <w:br w:type="page"/>
      </w:r>
      <w:r>
        <w:rPr>
          <w:rFonts w:hint="eastAsia" w:ascii="黑体" w:hAnsi="黑体" w:eastAsia="黑体" w:cs="黑体"/>
          <w:bCs/>
          <w:sz w:val="32"/>
          <w:szCs w:val="32"/>
          <w:lang w:val="zh-CN" w:eastAsia="zh-CN"/>
        </w:rPr>
        <w:t>供应商售后服务</w:t>
      </w:r>
    </w:p>
    <w:p w14:paraId="6E498639">
      <w:pP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br w:type="page"/>
      </w:r>
    </w:p>
    <w:p w14:paraId="2D774E9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lang w:val="zh-CN" w:eastAsia="zh-CN"/>
        </w:rPr>
      </w:pPr>
      <w:r>
        <w:rPr>
          <w:rFonts w:hint="eastAsia" w:ascii="黑体" w:hAnsi="黑体" w:eastAsia="黑体" w:cs="黑体"/>
          <w:bCs/>
          <w:sz w:val="32"/>
          <w:szCs w:val="32"/>
          <w:lang w:val="zh-CN" w:eastAsia="zh-CN"/>
        </w:rPr>
        <w:t>南京市政府采购供应商信用记录表暨信用承诺书</w:t>
      </w:r>
    </w:p>
    <w:p w14:paraId="5ADB71F7">
      <w:pPr>
        <w:autoSpaceDE w:val="0"/>
        <w:autoSpaceDN w:val="0"/>
        <w:adjustRightInd w:val="0"/>
        <w:jc w:val="center"/>
        <w:rPr>
          <w:rFonts w:ascii="Times New Roman" w:hAnsi="Times New Roman"/>
          <w:color w:val="000000"/>
          <w:sz w:val="36"/>
        </w:rPr>
      </w:pPr>
      <w:r>
        <w:rPr>
          <w:rFonts w:ascii="Times New Roman" w:hAnsi="Times New Roman" w:eastAsia="方正小标宋简体"/>
          <w:color w:val="000000"/>
          <w:sz w:val="36"/>
        </w:rPr>
        <w:t>南京市政府采购供应商信用记录表暨信用承诺书</w:t>
      </w:r>
    </w:p>
    <w:p w14:paraId="42E9D7F9">
      <w:pPr>
        <w:spacing w:before="156" w:beforeLines="50"/>
        <w:jc w:val="right"/>
        <w:rPr>
          <w:rFonts w:ascii="Times New Roman" w:hAnsi="Times New Roman"/>
          <w:sz w:val="24"/>
          <w:szCs w:val="32"/>
        </w:rPr>
      </w:pPr>
      <w:r>
        <w:rPr>
          <w:rFonts w:ascii="Times New Roman" w:hAnsi="Times New Roman" w:eastAsia="方正仿宋简体"/>
          <w:sz w:val="24"/>
          <w:szCs w:val="32"/>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37D9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EEC7AF9">
            <w:pPr>
              <w:rPr>
                <w:rFonts w:ascii="Times New Roman" w:hAnsi="Times New Roman" w:eastAsia="方正仿宋简体"/>
                <w:b/>
                <w:bCs/>
              </w:rPr>
            </w:pPr>
            <w:r>
              <w:rPr>
                <w:rFonts w:ascii="Times New Roman" w:hAnsi="Times New Roman" w:eastAsia="方正仿宋简体"/>
                <w:b/>
                <w:bCs/>
                <w:color w:val="000000"/>
                <w:spacing w:val="1"/>
                <w:sz w:val="22"/>
              </w:rPr>
              <w:t>单位名称</w:t>
            </w:r>
          </w:p>
        </w:tc>
        <w:tc>
          <w:tcPr>
            <w:tcW w:w="2205" w:type="dxa"/>
            <w:noWrap w:val="0"/>
            <w:vAlign w:val="center"/>
          </w:tcPr>
          <w:p w14:paraId="3C2A9E4B">
            <w:pPr>
              <w:rPr>
                <w:rFonts w:ascii="Times New Roman" w:hAnsi="Times New Roman" w:eastAsia="方正仿宋简体"/>
              </w:rPr>
            </w:pPr>
          </w:p>
        </w:tc>
        <w:tc>
          <w:tcPr>
            <w:tcW w:w="2145" w:type="dxa"/>
            <w:noWrap w:val="0"/>
            <w:vAlign w:val="center"/>
          </w:tcPr>
          <w:p w14:paraId="6EFAA5D4">
            <w:pPr>
              <w:rPr>
                <w:rFonts w:ascii="Times New Roman" w:hAnsi="Times New Roman" w:eastAsia="方正仿宋简体"/>
                <w:b/>
                <w:bCs/>
              </w:rPr>
            </w:pPr>
            <w:r>
              <w:rPr>
                <w:rFonts w:ascii="Times New Roman" w:hAnsi="Times New Roman" w:eastAsia="方正仿宋简体"/>
                <w:b/>
                <w:bCs/>
                <w:color w:val="000000"/>
                <w:spacing w:val="1"/>
                <w:sz w:val="22"/>
              </w:rPr>
              <w:t>统一社会信用代码</w:t>
            </w:r>
          </w:p>
        </w:tc>
        <w:tc>
          <w:tcPr>
            <w:tcW w:w="2430" w:type="dxa"/>
            <w:noWrap w:val="0"/>
            <w:vAlign w:val="center"/>
          </w:tcPr>
          <w:p w14:paraId="591DD34A">
            <w:pPr>
              <w:rPr>
                <w:rFonts w:ascii="Times New Roman" w:hAnsi="Times New Roman" w:eastAsia="方正仿宋简体"/>
              </w:rPr>
            </w:pPr>
          </w:p>
        </w:tc>
      </w:tr>
      <w:tr w14:paraId="185D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55F68F7">
            <w:pPr>
              <w:rPr>
                <w:rFonts w:ascii="Times New Roman" w:hAnsi="Times New Roman" w:eastAsia="方正仿宋简体"/>
                <w:b/>
                <w:bCs/>
              </w:rPr>
            </w:pPr>
            <w:r>
              <w:rPr>
                <w:rFonts w:ascii="Times New Roman" w:hAnsi="Times New Roman" w:eastAsia="方正仿宋简体"/>
                <w:b/>
                <w:bCs/>
                <w:color w:val="000000"/>
                <w:spacing w:val="1"/>
                <w:sz w:val="22"/>
              </w:rPr>
              <w:t>法定代表人</w:t>
            </w:r>
          </w:p>
        </w:tc>
        <w:tc>
          <w:tcPr>
            <w:tcW w:w="2205" w:type="dxa"/>
            <w:noWrap w:val="0"/>
            <w:vAlign w:val="center"/>
          </w:tcPr>
          <w:p w14:paraId="77CB453F">
            <w:pPr>
              <w:rPr>
                <w:rFonts w:ascii="Times New Roman" w:hAnsi="Times New Roman" w:eastAsia="方正仿宋简体"/>
              </w:rPr>
            </w:pPr>
          </w:p>
        </w:tc>
        <w:tc>
          <w:tcPr>
            <w:tcW w:w="2145" w:type="dxa"/>
            <w:noWrap w:val="0"/>
            <w:vAlign w:val="center"/>
          </w:tcPr>
          <w:p w14:paraId="470D5A89">
            <w:pPr>
              <w:rPr>
                <w:rFonts w:ascii="Times New Roman" w:hAnsi="Times New Roman" w:eastAsia="方正仿宋简体"/>
                <w:b/>
                <w:bCs/>
              </w:rPr>
            </w:pPr>
            <w:r>
              <w:rPr>
                <w:rFonts w:ascii="Times New Roman" w:hAnsi="Times New Roman" w:eastAsia="方正仿宋简体"/>
                <w:b/>
                <w:bCs/>
                <w:color w:val="000000"/>
                <w:spacing w:val="1"/>
                <w:sz w:val="22"/>
              </w:rPr>
              <w:t>联系人</w:t>
            </w:r>
          </w:p>
        </w:tc>
        <w:tc>
          <w:tcPr>
            <w:tcW w:w="2430" w:type="dxa"/>
            <w:noWrap w:val="0"/>
            <w:vAlign w:val="center"/>
          </w:tcPr>
          <w:p w14:paraId="4B19FF70">
            <w:pPr>
              <w:rPr>
                <w:rFonts w:ascii="Times New Roman" w:hAnsi="Times New Roman" w:eastAsia="方正仿宋简体"/>
              </w:rPr>
            </w:pPr>
          </w:p>
        </w:tc>
      </w:tr>
      <w:tr w14:paraId="6E9C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B63320F">
            <w:pPr>
              <w:rPr>
                <w:rFonts w:ascii="Times New Roman" w:hAnsi="Times New Roman" w:eastAsia="方正仿宋简体"/>
                <w:b/>
                <w:bCs/>
              </w:rPr>
            </w:pPr>
            <w:r>
              <w:rPr>
                <w:rFonts w:ascii="Times New Roman" w:hAnsi="Times New Roman" w:eastAsia="方正仿宋简体"/>
                <w:b/>
                <w:bCs/>
                <w:color w:val="000000"/>
                <w:spacing w:val="1"/>
                <w:sz w:val="22"/>
              </w:rPr>
              <w:t>联系地址</w:t>
            </w:r>
          </w:p>
        </w:tc>
        <w:tc>
          <w:tcPr>
            <w:tcW w:w="2205" w:type="dxa"/>
            <w:noWrap w:val="0"/>
            <w:vAlign w:val="center"/>
          </w:tcPr>
          <w:p w14:paraId="087CFC4D">
            <w:pPr>
              <w:rPr>
                <w:rFonts w:ascii="Times New Roman" w:hAnsi="Times New Roman" w:eastAsia="方正仿宋简体"/>
              </w:rPr>
            </w:pPr>
          </w:p>
        </w:tc>
        <w:tc>
          <w:tcPr>
            <w:tcW w:w="2145" w:type="dxa"/>
            <w:noWrap w:val="0"/>
            <w:vAlign w:val="center"/>
          </w:tcPr>
          <w:p w14:paraId="76C7AD32">
            <w:pPr>
              <w:rPr>
                <w:rFonts w:ascii="Times New Roman" w:hAnsi="Times New Roman" w:eastAsia="方正仿宋简体"/>
                <w:b/>
                <w:bCs/>
              </w:rPr>
            </w:pPr>
            <w:r>
              <w:rPr>
                <w:rFonts w:ascii="Times New Roman" w:hAnsi="Times New Roman" w:eastAsia="方正仿宋简体"/>
                <w:b/>
                <w:bCs/>
                <w:color w:val="000000"/>
                <w:spacing w:val="1"/>
                <w:sz w:val="22"/>
              </w:rPr>
              <w:t>联系电话</w:t>
            </w:r>
          </w:p>
        </w:tc>
        <w:tc>
          <w:tcPr>
            <w:tcW w:w="2430" w:type="dxa"/>
            <w:noWrap w:val="0"/>
            <w:vAlign w:val="center"/>
          </w:tcPr>
          <w:p w14:paraId="0C0D03F4">
            <w:pPr>
              <w:rPr>
                <w:rFonts w:ascii="Times New Roman" w:hAnsi="Times New Roman" w:eastAsia="方正仿宋简体"/>
              </w:rPr>
            </w:pPr>
          </w:p>
        </w:tc>
      </w:tr>
      <w:tr w14:paraId="0E4B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2214" w:type="dxa"/>
            <w:noWrap w:val="0"/>
            <w:vAlign w:val="center"/>
          </w:tcPr>
          <w:p w14:paraId="40E234AC">
            <w:pPr>
              <w:rPr>
                <w:rFonts w:ascii="Times New Roman" w:hAnsi="Times New Roman" w:eastAsia="方正仿宋简体"/>
                <w:b/>
                <w:bCs/>
              </w:rPr>
            </w:pPr>
            <w:r>
              <w:rPr>
                <w:rFonts w:ascii="Times New Roman" w:hAnsi="Times New Roman" w:eastAsia="方正仿宋简体"/>
                <w:b/>
                <w:bCs/>
                <w:color w:val="000000"/>
                <w:spacing w:val="1"/>
                <w:sz w:val="22"/>
              </w:rPr>
              <w:t>诚信档案记录情况</w:t>
            </w:r>
          </w:p>
        </w:tc>
        <w:tc>
          <w:tcPr>
            <w:tcW w:w="6780" w:type="dxa"/>
            <w:gridSpan w:val="3"/>
            <w:noWrap w:val="0"/>
            <w:vAlign w:val="top"/>
          </w:tcPr>
          <w:p w14:paraId="2F67D402">
            <w:pPr>
              <w:rPr>
                <w:rFonts w:ascii="Times New Roman" w:hAnsi="Times New Roman" w:eastAsia="方正仿宋简体"/>
              </w:rPr>
            </w:pPr>
          </w:p>
        </w:tc>
      </w:tr>
      <w:tr w14:paraId="0366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12676E9D">
            <w:pPr>
              <w:jc w:val="center"/>
              <w:rPr>
                <w:rFonts w:ascii="Times New Roman" w:hAnsi="Times New Roman" w:eastAsia="方正仿宋简体"/>
              </w:rPr>
            </w:pPr>
            <w:r>
              <w:rPr>
                <w:rFonts w:ascii="Times New Roman" w:hAnsi="Times New Roman" w:eastAsia="方正仿宋简体"/>
                <w:b/>
                <w:bCs/>
                <w:color w:val="000000"/>
                <w:spacing w:val="1"/>
                <w:sz w:val="22"/>
              </w:rPr>
              <w:t>信用承诺</w:t>
            </w:r>
          </w:p>
        </w:tc>
        <w:tc>
          <w:tcPr>
            <w:tcW w:w="6780" w:type="dxa"/>
            <w:gridSpan w:val="3"/>
            <w:noWrap w:val="0"/>
            <w:vAlign w:val="top"/>
          </w:tcPr>
          <w:p w14:paraId="652F499F">
            <w:pPr>
              <w:spacing w:line="360" w:lineRule="exact"/>
              <w:ind w:firstLine="404" w:firstLineChars="200"/>
              <w:jc w:val="left"/>
              <w:rPr>
                <w:rFonts w:ascii="Times New Roman" w:hAnsi="Times New Roman" w:eastAsia="方正仿宋简体"/>
                <w:color w:val="000000"/>
                <w:spacing w:val="-4"/>
              </w:rPr>
            </w:pPr>
          </w:p>
          <w:p w14:paraId="79299D67">
            <w:pPr>
              <w:spacing w:line="360" w:lineRule="exact"/>
              <w:ind w:firstLine="404" w:firstLineChars="200"/>
              <w:jc w:val="left"/>
              <w:rPr>
                <w:rFonts w:ascii="Times New Roman" w:hAnsi="Times New Roman" w:eastAsia="方正仿宋简体"/>
                <w:color w:val="000000"/>
              </w:rPr>
            </w:pPr>
            <w:r>
              <w:rPr>
                <w:rFonts w:ascii="Times New Roman" w:hAnsi="Times New Roman" w:eastAsia="方正仿宋简体"/>
                <w:color w:val="000000"/>
                <w:spacing w:val="-4"/>
              </w:rPr>
              <w:t>我公司自愿参加贵中心（公司）组织的本次采购活动，严格遵守《中</w:t>
            </w:r>
            <w:r>
              <w:rPr>
                <w:rFonts w:ascii="Times New Roman" w:hAnsi="Times New Roman" w:eastAsia="方正仿宋简体"/>
                <w:color w:val="000000"/>
                <w:spacing w:val="-2"/>
              </w:rPr>
              <w:t>华人民</w:t>
            </w:r>
            <w:r>
              <w:rPr>
                <w:rFonts w:hint="eastAsia" w:ascii="Times New Roman" w:hAnsi="Times New Roman" w:eastAsia="方正仿宋简体"/>
                <w:color w:val="000000"/>
                <w:spacing w:val="-2"/>
                <w:lang w:eastAsia="zh-CN"/>
              </w:rPr>
              <w:t>共和国</w:t>
            </w:r>
            <w:r>
              <w:rPr>
                <w:rFonts w:ascii="Times New Roman" w:hAnsi="Times New Roman" w:eastAsia="方正仿宋简体"/>
                <w:color w:val="000000"/>
                <w:spacing w:val="-2"/>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rPr>
              <w:t>有独立承担民事责任的能力；具有良好的商业信誉和健全的财务会计制</w:t>
            </w:r>
            <w:r>
              <w:rPr>
                <w:rFonts w:ascii="Times New Roman" w:hAnsi="Times New Roman" w:eastAsia="方正仿宋简体"/>
                <w:color w:val="000000"/>
                <w:spacing w:val="-2"/>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rPr>
              <w:t>门和有权机关的审查和处罚。</w:t>
            </w:r>
          </w:p>
          <w:p w14:paraId="2220A6D9">
            <w:pPr>
              <w:spacing w:line="360" w:lineRule="exact"/>
              <w:jc w:val="left"/>
              <w:rPr>
                <w:rFonts w:ascii="Times New Roman" w:hAnsi="Times New Roman" w:eastAsia="方正仿宋简体"/>
                <w:color w:val="000000"/>
              </w:rPr>
            </w:pPr>
          </w:p>
          <w:p w14:paraId="682981F4">
            <w:pPr>
              <w:spacing w:line="360" w:lineRule="exact"/>
              <w:jc w:val="left"/>
              <w:rPr>
                <w:rFonts w:ascii="Times New Roman" w:hAnsi="Times New Roman" w:eastAsia="方正仿宋简体"/>
                <w:color w:val="000000"/>
              </w:rPr>
            </w:pPr>
          </w:p>
          <w:p w14:paraId="3AF0045A">
            <w:pPr>
              <w:spacing w:line="360" w:lineRule="exact"/>
              <w:jc w:val="left"/>
              <w:rPr>
                <w:rFonts w:ascii="Times New Roman" w:hAnsi="Times New Roman" w:eastAsia="方正仿宋简体"/>
                <w:color w:val="000000"/>
              </w:rPr>
            </w:pPr>
          </w:p>
          <w:p w14:paraId="1A3EEDDB">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供应商名称（盖章）：                   </w:t>
            </w:r>
          </w:p>
          <w:p w14:paraId="79CE00F1">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法定代表人（签字）：                   </w:t>
            </w:r>
          </w:p>
          <w:p w14:paraId="0CA4230D">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spacing w:val="2"/>
              </w:rPr>
              <w:t>二</w:t>
            </w:r>
            <w:r>
              <w:rPr>
                <w:rFonts w:ascii="Times New Roman" w:hAnsi="Times New Roman" w:eastAsia="方正仿宋简体"/>
                <w:color w:val="000000"/>
              </w:rPr>
              <w:t xml:space="preserve">〇   年   月   日                   </w:t>
            </w:r>
          </w:p>
        </w:tc>
      </w:tr>
    </w:tbl>
    <w:p w14:paraId="617E485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br w:type="page"/>
      </w:r>
      <w:r>
        <w:rPr>
          <w:rFonts w:hint="eastAsia" w:ascii="黑体" w:hAnsi="黑体" w:eastAsia="黑体" w:cs="黑体"/>
          <w:bCs/>
          <w:sz w:val="32"/>
          <w:szCs w:val="32"/>
          <w:lang w:val="en-US" w:eastAsia="zh-CN"/>
        </w:rPr>
        <w:t>投标</w:t>
      </w:r>
      <w:r>
        <w:rPr>
          <w:rFonts w:hint="default" w:ascii="黑体" w:hAnsi="黑体" w:eastAsia="黑体" w:cs="黑体"/>
          <w:bCs/>
          <w:sz w:val="32"/>
          <w:szCs w:val="32"/>
          <w:lang w:val="en-US" w:eastAsia="zh-CN"/>
        </w:rPr>
        <w:t>材料真实性及购销廉洁声明</w:t>
      </w:r>
    </w:p>
    <w:p w14:paraId="0CAABB47">
      <w:pPr>
        <w:autoSpaceDE w:val="0"/>
        <w:autoSpaceDN w:val="0"/>
        <w:adjustRightInd w:val="0"/>
        <w:jc w:val="center"/>
        <w:outlineLvl w:val="9"/>
        <w:rPr>
          <w:rFonts w:hint="eastAsia" w:ascii="Times New Roman" w:hAnsi="Times New Roman" w:eastAsia="方正小标宋简体"/>
          <w:color w:val="000000"/>
          <w:kern w:val="2"/>
          <w:sz w:val="36"/>
        </w:rPr>
      </w:pPr>
      <w:r>
        <w:rPr>
          <w:rFonts w:hint="eastAsia" w:ascii="Times New Roman" w:hAnsi="Times New Roman" w:eastAsia="方正小标宋简体"/>
          <w:color w:val="000000"/>
          <w:kern w:val="2"/>
          <w:sz w:val="36"/>
        </w:rPr>
        <w:t>承诺书</w:t>
      </w:r>
    </w:p>
    <w:p w14:paraId="0DA03EA4">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南京市江宁医院：</w:t>
      </w:r>
    </w:p>
    <w:p w14:paraId="7E1A82E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针对贵院此次</w:t>
      </w:r>
      <w:r>
        <w:rPr>
          <w:rFonts w:hint="eastAsia" w:ascii="Times New Roman" w:hAnsi="Times New Roman" w:eastAsia="方正仿宋简体" w:cs="Times New Roman"/>
          <w:kern w:val="2"/>
          <w:sz w:val="24"/>
          <w:szCs w:val="24"/>
          <w:lang w:val="en-US" w:eastAsia="zh-CN" w:bidi="ar-SA"/>
        </w:rPr>
        <w:t>论证</w:t>
      </w:r>
      <w:r>
        <w:rPr>
          <w:rFonts w:hint="default" w:ascii="Times New Roman" w:hAnsi="Times New Roman" w:eastAsia="方正仿宋简体" w:cs="Times New Roman"/>
          <w:kern w:val="2"/>
          <w:sz w:val="24"/>
          <w:szCs w:val="24"/>
          <w:lang w:val="en-US" w:eastAsia="zh-CN" w:bidi="ar-SA"/>
        </w:rPr>
        <w:t>，我公司郑重承诺：所提供资料（以骑缝章为准）真实有效，无任何虚假成分。如有虚假，由此产生的一切后果由本公司承担。</w:t>
      </w:r>
    </w:p>
    <w:p w14:paraId="3D2160A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为进一步加强医疗卫生行风建设，规范医疗卫生机构医药销售行为，有效防范商业贿赂行为，营造公平交易、诚实守信的购销环境，我公司郑重承诺并遵守：</w:t>
      </w:r>
    </w:p>
    <w:p w14:paraId="0DF0DF0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一、我方按照《民法典》及本承诺购销各类物资及服务。</w:t>
      </w:r>
    </w:p>
    <w:p w14:paraId="6C3B862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二、我方不以回扣、宴请等方式影响医院工作人员采购或使用产品的选择权，不在学术活动中提供旅游、超标准支付食宿等费用。</w:t>
      </w:r>
    </w:p>
    <w:p w14:paraId="5D13A98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020B358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5159ABA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五、本承诺作为产品购销合同的重要组成部分，与购销合同一并执行，具有同等法律效力。</w:t>
      </w:r>
    </w:p>
    <w:p w14:paraId="1517891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4194A22C">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39AB909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24F8EDF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公司（签章）</w:t>
      </w:r>
      <w:r>
        <w:rPr>
          <w:rFonts w:hint="eastAsia" w:ascii="Times New Roman" w:hAnsi="Times New Roman" w:eastAsia="方正仿宋简体" w:cs="Times New Roman"/>
          <w:kern w:val="2"/>
          <w:sz w:val="24"/>
          <w:szCs w:val="24"/>
          <w:lang w:val="en-US" w:eastAsia="zh-CN" w:bidi="ar-SA"/>
        </w:rPr>
        <w:t xml:space="preserve">：             </w:t>
      </w:r>
    </w:p>
    <w:p w14:paraId="574DDA4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Calibri" w:hAnsi="Calibri"/>
          <w:kern w:val="2"/>
          <w:lang w:eastAsia="zh-CN"/>
        </w:rPr>
        <w:sectPr>
          <w:footerReference r:id="rId6" w:type="default"/>
          <w:pgSz w:w="11906" w:h="16838"/>
          <w:pgMar w:top="1440" w:right="1800" w:bottom="1440" w:left="1800" w:header="851" w:footer="992" w:gutter="0"/>
          <w:pgNumType w:fmt="decimal"/>
          <w:cols w:space="1701" w:num="1"/>
          <w:docGrid w:linePitch="360" w:charSpace="0"/>
        </w:sectPr>
      </w:pP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年 </w:t>
      </w: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 月 </w:t>
      </w:r>
      <w:r>
        <w:rPr>
          <w:rFonts w:hint="eastAsia" w:ascii="Times New Roman" w:hAnsi="Times New Roman" w:eastAsia="方正仿宋简体" w:cs="Times New Roman"/>
          <w:kern w:val="2"/>
          <w:sz w:val="24"/>
          <w:szCs w:val="24"/>
          <w:lang w:val="en-US" w:eastAsia="zh-CN" w:bidi="ar-SA"/>
        </w:rPr>
        <w:t xml:space="preserve">  </w:t>
      </w:r>
    </w:p>
    <w:p w14:paraId="417F28E5">
      <w:pPr>
        <w:pStyle w:val="2"/>
        <w:keepNext/>
        <w:keepLines/>
        <w:pageBreakBefore w:val="0"/>
        <w:widowControl w:val="0"/>
        <w:kinsoku/>
        <w:wordWrap/>
        <w:overflowPunct/>
        <w:topLinePunct w:val="0"/>
        <w:autoSpaceDE/>
        <w:autoSpaceDN/>
        <w:bidi w:val="0"/>
        <w:adjustRightInd/>
        <w:snapToGrid/>
        <w:spacing w:before="0"/>
        <w:textAlignment w:val="auto"/>
      </w:pPr>
      <w:bookmarkStart w:id="48" w:name="_Toc20964"/>
      <w:bookmarkStart w:id="49" w:name="_Toc3075"/>
      <w:r>
        <w:rPr>
          <w:rFonts w:hint="eastAsia"/>
        </w:rPr>
        <w:t>第七</w:t>
      </w:r>
      <w:r>
        <w:rPr>
          <w:rFonts w:hint="eastAsia"/>
          <w:lang w:val="en-US" w:eastAsia="zh-CN"/>
        </w:rPr>
        <w:t xml:space="preserve">章 </w:t>
      </w:r>
      <w:r>
        <w:rPr>
          <w:rFonts w:hint="eastAsia"/>
        </w:rPr>
        <w:t>特别提醒</w:t>
      </w:r>
      <w:bookmarkEnd w:id="48"/>
      <w:bookmarkEnd w:id="49"/>
    </w:p>
    <w:p w14:paraId="4650B0A2">
      <w:pPr>
        <w:spacing w:line="360" w:lineRule="auto"/>
        <w:jc w:val="center"/>
        <w:outlineLvl w:val="9"/>
        <w:rPr>
          <w:rFonts w:hAnsi="宋体" w:cs="宋体"/>
          <w:bCs/>
          <w:color w:val="auto"/>
          <w:kern w:val="2"/>
          <w:sz w:val="44"/>
          <w:szCs w:val="44"/>
        </w:rPr>
      </w:pPr>
      <w:bookmarkStart w:id="50" w:name="_Toc9503"/>
      <w:bookmarkStart w:id="51" w:name="_Toc31159"/>
      <w:r>
        <w:rPr>
          <w:rFonts w:hint="eastAsia" w:hAnsi="宋体" w:cs="宋体"/>
          <w:bCs/>
          <w:color w:val="auto"/>
          <w:kern w:val="2"/>
          <w:sz w:val="44"/>
          <w:szCs w:val="44"/>
        </w:rPr>
        <w:t>（有关围标串标情形的判定）</w:t>
      </w:r>
      <w:bookmarkEnd w:id="50"/>
      <w:bookmarkEnd w:id="51"/>
    </w:p>
    <w:p w14:paraId="20950FB8">
      <w:pPr>
        <w:spacing w:line="360" w:lineRule="auto"/>
        <w:rPr>
          <w:rFonts w:hAnsi="宋体"/>
          <w:bCs/>
          <w:color w:val="auto"/>
          <w:sz w:val="32"/>
          <w:szCs w:val="32"/>
        </w:rPr>
      </w:pPr>
    </w:p>
    <w:p w14:paraId="1188C9A8">
      <w:pPr>
        <w:tabs>
          <w:tab w:val="left" w:pos="3965"/>
        </w:tabs>
        <w:spacing w:line="360" w:lineRule="auto"/>
        <w:rPr>
          <w:rFonts w:hint="eastAsia" w:hAnsi="宋体" w:eastAsia="宋体"/>
          <w:bCs/>
          <w:color w:val="auto"/>
          <w:sz w:val="32"/>
          <w:szCs w:val="32"/>
          <w:lang w:eastAsia="zh-CN"/>
        </w:rPr>
      </w:pPr>
      <w:r>
        <w:rPr>
          <w:rFonts w:hint="eastAsia" w:hAnsi="宋体"/>
          <w:bCs/>
          <w:color w:val="auto"/>
          <w:sz w:val="32"/>
          <w:szCs w:val="32"/>
        </w:rPr>
        <w:t>各</w:t>
      </w:r>
      <w:r>
        <w:rPr>
          <w:rFonts w:hint="eastAsia" w:hAnsi="宋体"/>
          <w:bCs/>
          <w:color w:val="auto"/>
          <w:sz w:val="32"/>
          <w:szCs w:val="32"/>
          <w:lang w:val="en-US" w:eastAsia="zh-CN"/>
        </w:rPr>
        <w:t>供应商</w:t>
      </w:r>
      <w:r>
        <w:rPr>
          <w:rFonts w:hint="eastAsia" w:hAnsi="宋体"/>
          <w:bCs/>
          <w:color w:val="auto"/>
          <w:sz w:val="32"/>
          <w:szCs w:val="32"/>
        </w:rPr>
        <w:t>：</w:t>
      </w:r>
      <w:r>
        <w:rPr>
          <w:rFonts w:hint="eastAsia" w:hAnsi="宋体"/>
          <w:bCs/>
          <w:color w:val="auto"/>
          <w:sz w:val="32"/>
          <w:szCs w:val="32"/>
          <w:lang w:eastAsia="zh-CN"/>
        </w:rPr>
        <w:tab/>
      </w:r>
    </w:p>
    <w:p w14:paraId="47ACF445">
      <w:pPr>
        <w:spacing w:line="360" w:lineRule="auto"/>
        <w:ind w:firstLine="480"/>
        <w:rPr>
          <w:rFonts w:hAnsi="宋体"/>
          <w:color w:val="auto"/>
        </w:rPr>
      </w:pPr>
      <w:r>
        <w:rPr>
          <w:rFonts w:hint="eastAsia" w:hAnsi="宋体"/>
          <w:color w:val="auto"/>
        </w:rPr>
        <w:t>评</w:t>
      </w:r>
      <w:r>
        <w:rPr>
          <w:rFonts w:hint="eastAsia" w:hAnsi="宋体"/>
          <w:color w:val="auto"/>
          <w:lang w:val="en-US" w:eastAsia="zh-CN"/>
        </w:rPr>
        <w:t>审</w:t>
      </w:r>
      <w:r>
        <w:rPr>
          <w:rFonts w:hint="eastAsia" w:hAnsi="宋体"/>
          <w:color w:val="auto"/>
        </w:rPr>
        <w:t>委员会将对</w:t>
      </w:r>
      <w:r>
        <w:rPr>
          <w:rFonts w:hint="eastAsia" w:hAnsi="宋体"/>
          <w:color w:val="auto"/>
          <w:lang w:val="en-US" w:eastAsia="zh-CN"/>
        </w:rPr>
        <w:t>供应商</w:t>
      </w:r>
      <w:r>
        <w:rPr>
          <w:rFonts w:hint="eastAsia" w:hAnsi="宋体"/>
          <w:color w:val="auto"/>
        </w:rPr>
        <w:t>提交的响应文件进行评审，在评审过程中如发现</w:t>
      </w:r>
      <w:r>
        <w:rPr>
          <w:rFonts w:hint="eastAsia" w:hAnsi="宋体"/>
          <w:color w:val="auto"/>
          <w:lang w:val="en-US" w:eastAsia="zh-CN"/>
        </w:rPr>
        <w:t>供应商</w:t>
      </w:r>
      <w:r>
        <w:rPr>
          <w:rFonts w:hint="eastAsia" w:hAnsi="宋体"/>
          <w:color w:val="auto"/>
        </w:rPr>
        <w:t>存在以下情形：</w:t>
      </w:r>
    </w:p>
    <w:p w14:paraId="5123C46C">
      <w:pPr>
        <w:spacing w:line="360" w:lineRule="auto"/>
        <w:ind w:firstLine="420" w:firstLineChars="200"/>
        <w:rPr>
          <w:rFonts w:hAnsi="宋体" w:cs="宋体"/>
          <w:color w:val="auto"/>
          <w:highlight w:val="none"/>
        </w:rPr>
      </w:pPr>
      <w:r>
        <w:rPr>
          <w:rFonts w:hint="eastAsia" w:hAnsi="宋体" w:cs="宋体"/>
          <w:color w:val="auto"/>
          <w:highlight w:val="none"/>
        </w:rPr>
        <w:t>1.</w:t>
      </w:r>
      <w:r>
        <w:rPr>
          <w:rFonts w:hAnsi="宋体" w:cs="宋体"/>
          <w:color w:val="auto"/>
          <w:highlight w:val="none"/>
        </w:rPr>
        <w:t>投标人之间协商投标报价</w:t>
      </w:r>
      <w:r>
        <w:rPr>
          <w:rFonts w:hint="eastAsia" w:hAnsi="宋体" w:cs="宋体"/>
          <w:color w:val="auto"/>
          <w:highlight w:val="none"/>
        </w:rPr>
        <w:t>、技术方案</w:t>
      </w:r>
      <w:r>
        <w:rPr>
          <w:rFonts w:hAnsi="宋体" w:cs="宋体"/>
          <w:color w:val="auto"/>
          <w:highlight w:val="none"/>
        </w:rPr>
        <w:t>等投标文件的实质性内容；</w:t>
      </w:r>
    </w:p>
    <w:p w14:paraId="64333667">
      <w:pPr>
        <w:spacing w:line="360" w:lineRule="auto"/>
        <w:ind w:firstLine="420" w:firstLineChars="200"/>
        <w:rPr>
          <w:rFonts w:hAnsi="宋体" w:cs="宋体"/>
          <w:color w:val="auto"/>
          <w:highlight w:val="none"/>
        </w:rPr>
      </w:pPr>
      <w:r>
        <w:rPr>
          <w:rFonts w:hint="eastAsia" w:hAnsi="宋体" w:cs="宋体"/>
          <w:color w:val="auto"/>
          <w:highlight w:val="none"/>
        </w:rPr>
        <w:t>2.</w:t>
      </w:r>
      <w:r>
        <w:rPr>
          <w:rFonts w:hAnsi="宋体" w:cs="宋体"/>
          <w:color w:val="auto"/>
          <w:highlight w:val="none"/>
        </w:rPr>
        <w:t>属于同一集团、协会、商会等组织成员的投标人按照该组织要求协同</w:t>
      </w:r>
      <w:r>
        <w:rPr>
          <w:rFonts w:hint="eastAsia" w:hAnsi="宋体" w:cs="宋体"/>
          <w:color w:val="auto"/>
          <w:highlight w:val="none"/>
        </w:rPr>
        <w:t>参加投标</w:t>
      </w:r>
      <w:r>
        <w:rPr>
          <w:rFonts w:hAnsi="宋体" w:cs="宋体"/>
          <w:color w:val="auto"/>
          <w:highlight w:val="none"/>
        </w:rPr>
        <w:t>；</w:t>
      </w:r>
    </w:p>
    <w:p w14:paraId="1BBAFF16">
      <w:pPr>
        <w:spacing w:line="360" w:lineRule="auto"/>
        <w:ind w:firstLine="420" w:firstLineChars="200"/>
        <w:rPr>
          <w:rFonts w:hAnsi="宋体" w:cs="宋体"/>
          <w:color w:val="auto"/>
          <w:highlight w:val="none"/>
        </w:rPr>
      </w:pPr>
      <w:r>
        <w:rPr>
          <w:rFonts w:hint="eastAsia" w:hAnsi="宋体" w:cs="宋体"/>
          <w:color w:val="auto"/>
          <w:highlight w:val="none"/>
        </w:rPr>
        <w:t>3.</w:t>
      </w:r>
      <w:r>
        <w:rPr>
          <w:rFonts w:hAnsi="宋体" w:cs="宋体"/>
          <w:color w:val="auto"/>
          <w:highlight w:val="none"/>
        </w:rPr>
        <w:t>投标人之间</w:t>
      </w:r>
      <w:r>
        <w:rPr>
          <w:rFonts w:hint="eastAsia" w:hAnsi="宋体" w:cs="宋体"/>
          <w:color w:val="auto"/>
          <w:highlight w:val="none"/>
        </w:rPr>
        <w:t>事先约定由某一特定投标人</w:t>
      </w:r>
      <w:r>
        <w:rPr>
          <w:rFonts w:hAnsi="宋体" w:cs="宋体"/>
          <w:color w:val="auto"/>
          <w:highlight w:val="none"/>
        </w:rPr>
        <w:t xml:space="preserve">中标； </w:t>
      </w:r>
    </w:p>
    <w:p w14:paraId="6FD8B785">
      <w:pPr>
        <w:spacing w:line="360" w:lineRule="auto"/>
        <w:ind w:firstLine="420" w:firstLineChars="200"/>
        <w:rPr>
          <w:rFonts w:hAnsi="宋体" w:cs="宋体"/>
          <w:color w:val="auto"/>
          <w:highlight w:val="none"/>
        </w:rPr>
      </w:pPr>
      <w:r>
        <w:rPr>
          <w:rFonts w:hint="eastAsia" w:hAnsi="宋体" w:cs="宋体"/>
          <w:color w:val="auto"/>
          <w:highlight w:val="none"/>
        </w:rPr>
        <w:t>4.</w:t>
      </w:r>
      <w:r>
        <w:rPr>
          <w:rFonts w:hint="eastAsia"/>
          <w:color w:val="auto"/>
          <w:highlight w:val="none"/>
        </w:rPr>
        <w:t>投标人</w:t>
      </w:r>
      <w:r>
        <w:rPr>
          <w:rFonts w:hint="eastAsia" w:hAnsi="宋体" w:cs="宋体"/>
          <w:color w:val="auto"/>
          <w:highlight w:val="none"/>
        </w:rPr>
        <w:t>之间商定部分投标人放弃参加投标或者放弃中标</w:t>
      </w:r>
      <w:r>
        <w:rPr>
          <w:rFonts w:hAnsi="宋体" w:cs="宋体"/>
          <w:color w:val="auto"/>
          <w:highlight w:val="none"/>
        </w:rPr>
        <w:t xml:space="preserve">； </w:t>
      </w:r>
    </w:p>
    <w:p w14:paraId="680562EC">
      <w:pPr>
        <w:spacing w:line="360" w:lineRule="auto"/>
        <w:ind w:firstLine="420" w:firstLineChars="200"/>
        <w:rPr>
          <w:rFonts w:hAnsi="宋体" w:cs="Arial"/>
          <w:color w:val="auto"/>
          <w:highlight w:val="none"/>
        </w:rPr>
      </w:pPr>
      <w:r>
        <w:rPr>
          <w:rFonts w:hint="eastAsia" w:hAnsi="宋体" w:cs="宋体"/>
          <w:color w:val="auto"/>
          <w:highlight w:val="none"/>
        </w:rPr>
        <w:t>5.</w:t>
      </w:r>
      <w:r>
        <w:rPr>
          <w:rFonts w:hAnsi="宋体" w:cs="宋体"/>
          <w:color w:val="auto"/>
          <w:highlight w:val="none"/>
        </w:rPr>
        <w:t>投标人之间为谋取中标或者排斥特定投标人而采取的其他联合行动。</w:t>
      </w:r>
    </w:p>
    <w:p w14:paraId="31B0F072">
      <w:pPr>
        <w:spacing w:line="360" w:lineRule="auto"/>
        <w:ind w:firstLine="420" w:firstLineChars="200"/>
        <w:rPr>
          <w:rFonts w:hAnsi="宋体" w:cs="Arial"/>
          <w:color w:val="auto"/>
          <w:highlight w:val="none"/>
        </w:rPr>
      </w:pPr>
      <w:r>
        <w:rPr>
          <w:rFonts w:hint="eastAsia" w:hAnsi="宋体" w:cs="Arial"/>
          <w:color w:val="auto"/>
          <w:highlight w:val="none"/>
        </w:rPr>
        <w:t>6.</w:t>
      </w:r>
      <w:r>
        <w:rPr>
          <w:rFonts w:hAnsi="宋体" w:cs="Arial"/>
          <w:color w:val="auto"/>
          <w:highlight w:val="none"/>
        </w:rPr>
        <w:t>不同投标人的投标文件由同一单位或者个人编制；</w:t>
      </w:r>
    </w:p>
    <w:p w14:paraId="6C0510CA">
      <w:pPr>
        <w:spacing w:line="360" w:lineRule="auto"/>
        <w:ind w:firstLine="420" w:firstLineChars="200"/>
        <w:rPr>
          <w:rFonts w:hAnsi="宋体" w:cs="Arial"/>
          <w:color w:val="auto"/>
          <w:highlight w:val="none"/>
        </w:rPr>
      </w:pPr>
      <w:r>
        <w:rPr>
          <w:rFonts w:hint="eastAsia" w:hAnsi="宋体" w:cs="Arial"/>
          <w:color w:val="auto"/>
          <w:highlight w:val="none"/>
        </w:rPr>
        <w:t>7.</w:t>
      </w:r>
      <w:r>
        <w:rPr>
          <w:rFonts w:hAnsi="宋体" w:cs="Arial"/>
          <w:color w:val="auto"/>
          <w:highlight w:val="none"/>
        </w:rPr>
        <w:t xml:space="preserve">不同投标人委托同一单位或者个人办理投标事宜； </w:t>
      </w:r>
    </w:p>
    <w:p w14:paraId="19620B3F">
      <w:pPr>
        <w:spacing w:line="360" w:lineRule="auto"/>
        <w:ind w:firstLine="420" w:firstLineChars="200"/>
        <w:rPr>
          <w:rFonts w:hAnsi="宋体" w:cs="Arial"/>
          <w:color w:val="auto"/>
          <w:highlight w:val="none"/>
        </w:rPr>
      </w:pPr>
      <w:r>
        <w:rPr>
          <w:rFonts w:hint="eastAsia" w:hAnsi="宋体" w:cs="Arial"/>
          <w:color w:val="auto"/>
          <w:highlight w:val="none"/>
        </w:rPr>
        <w:t>8.</w:t>
      </w:r>
      <w:r>
        <w:rPr>
          <w:rFonts w:hAnsi="宋体" w:cs="Arial"/>
          <w:color w:val="auto"/>
          <w:highlight w:val="none"/>
        </w:rPr>
        <w:t>不同投标人的投标文件载明的项目管理成员或者联系人员为同一人；</w:t>
      </w:r>
    </w:p>
    <w:p w14:paraId="61563F16">
      <w:pPr>
        <w:spacing w:line="360" w:lineRule="auto"/>
        <w:ind w:firstLine="420" w:firstLineChars="200"/>
        <w:rPr>
          <w:rFonts w:hAnsi="宋体" w:cs="Arial"/>
          <w:color w:val="auto"/>
          <w:highlight w:val="none"/>
        </w:rPr>
      </w:pPr>
      <w:r>
        <w:rPr>
          <w:rFonts w:hint="eastAsia" w:hAnsi="宋体" w:cs="Arial"/>
          <w:color w:val="auto"/>
          <w:highlight w:val="none"/>
        </w:rPr>
        <w:t>9.</w:t>
      </w:r>
      <w:r>
        <w:rPr>
          <w:rFonts w:hAnsi="宋体" w:cs="Arial"/>
          <w:color w:val="auto"/>
          <w:highlight w:val="none"/>
        </w:rPr>
        <w:t xml:space="preserve">不同投标人的投标文件异常一致或者投标报价呈规律性差异； </w:t>
      </w:r>
    </w:p>
    <w:p w14:paraId="44BF089B">
      <w:pPr>
        <w:spacing w:line="360" w:lineRule="auto"/>
        <w:ind w:firstLine="420" w:firstLineChars="200"/>
        <w:rPr>
          <w:rFonts w:hAnsi="宋体" w:cs="Arial"/>
          <w:color w:val="auto"/>
          <w:highlight w:val="none"/>
        </w:rPr>
      </w:pPr>
      <w:r>
        <w:rPr>
          <w:rFonts w:hint="eastAsia" w:hAnsi="宋体" w:cs="Arial"/>
          <w:color w:val="auto"/>
          <w:highlight w:val="none"/>
        </w:rPr>
        <w:t>10.</w:t>
      </w:r>
      <w:r>
        <w:rPr>
          <w:rFonts w:hAnsi="宋体" w:cs="Arial"/>
          <w:color w:val="auto"/>
          <w:highlight w:val="none"/>
        </w:rPr>
        <w:t>不同投标人的投标文件相互混装；</w:t>
      </w:r>
    </w:p>
    <w:p w14:paraId="6FBA0570">
      <w:pPr>
        <w:spacing w:line="360" w:lineRule="auto"/>
        <w:ind w:firstLine="420" w:firstLineChars="200"/>
        <w:rPr>
          <w:rFonts w:hAnsi="宋体" w:cs="Arial"/>
          <w:color w:val="auto"/>
          <w:highlight w:val="none"/>
        </w:rPr>
      </w:pPr>
      <w:r>
        <w:rPr>
          <w:rFonts w:hint="eastAsia" w:hAnsi="宋体" w:cs="Arial"/>
          <w:color w:val="auto"/>
          <w:highlight w:val="none"/>
        </w:rPr>
        <w:t>11.</w:t>
      </w:r>
      <w:r>
        <w:rPr>
          <w:rFonts w:hAnsi="宋体" w:cs="Arial"/>
          <w:color w:val="auto"/>
          <w:highlight w:val="none"/>
        </w:rPr>
        <w:t>不同投标人的投标保证金从同一单位或者个人的账户转出。</w:t>
      </w:r>
    </w:p>
    <w:p w14:paraId="531EDD07">
      <w:pPr>
        <w:widowControl w:val="0"/>
        <w:numPr>
          <w:ilvl w:val="0"/>
          <w:numId w:val="0"/>
        </w:numPr>
        <w:shd w:val="clear" w:color="auto" w:fill="auto"/>
        <w:ind w:firstLine="420" w:firstLineChars="200"/>
        <w:jc w:val="both"/>
        <w:outlineLvl w:val="9"/>
        <w:rPr>
          <w:rFonts w:hint="eastAsia" w:ascii="宋体" w:hAnsi="宋体" w:eastAsia="宋体" w:cs="宋体"/>
          <w:b/>
          <w:bCs/>
          <w:color w:val="000000"/>
          <w:sz w:val="32"/>
          <w:szCs w:val="32"/>
          <w:highlight w:val="none"/>
        </w:rPr>
      </w:pPr>
      <w:bookmarkStart w:id="52" w:name="_Toc29992"/>
      <w:r>
        <w:rPr>
          <w:rFonts w:hint="eastAsia" w:hAnsi="宋体" w:cs="Arial"/>
          <w:color w:val="auto"/>
          <w:highlight w:val="none"/>
        </w:rPr>
        <w:t>将被判定为存在围标串标情形，相关投标文件均将被否决。</w:t>
      </w:r>
      <w:r>
        <w:rPr>
          <w:rFonts w:hAnsi="宋体" w:cs="Arial"/>
          <w:color w:val="auto"/>
          <w:highlight w:val="none"/>
        </w:rPr>
        <w:br w:type="textWrapping"/>
      </w:r>
      <w:bookmarkEnd w:id="52"/>
    </w:p>
    <w:sectPr>
      <w:pgSz w:w="11906" w:h="16838"/>
      <w:pgMar w:top="1440" w:right="1800" w:bottom="1440" w:left="1800" w:header="851" w:footer="992" w:gutter="0"/>
      <w:pgNumType w:fmt="decimal"/>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72FAD86-9C20-44E8-A0D0-794D6B44D1AA}"/>
  </w:font>
  <w:font w:name="黑体">
    <w:panose1 w:val="02010609060101010101"/>
    <w:charset w:val="86"/>
    <w:family w:val="auto"/>
    <w:pitch w:val="default"/>
    <w:sig w:usb0="800002BF" w:usb1="38CF7CFA" w:usb2="00000016" w:usb3="00000000" w:csb0="00040001" w:csb1="00000000"/>
    <w:embedRegular r:id="rId2" w:fontKey="{452E05C9-CD64-413E-9626-F1A6D03795E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14AE8832-393D-4E4D-8D25-E97C68FAF5E8}"/>
  </w:font>
  <w:font w:name="方正小标宋简体">
    <w:panose1 w:val="03000509000000000000"/>
    <w:charset w:val="86"/>
    <w:family w:val="auto"/>
    <w:pitch w:val="default"/>
    <w:sig w:usb0="00000001" w:usb1="080E0000" w:usb2="00000000" w:usb3="00000000" w:csb0="00040000" w:csb1="00000000"/>
    <w:embedRegular r:id="rId4" w:fontKey="{2B81AAB3-8245-4B40-9F38-CDEFE5F966DD}"/>
  </w:font>
  <w:font w:name="方正楷体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5" w:fontKey="{75F38FB3-4728-4173-8116-C8721F37EBF5}"/>
  </w:font>
  <w:font w:name="Cambria">
    <w:panose1 w:val="02040503050406030204"/>
    <w:charset w:val="00"/>
    <w:family w:val="auto"/>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10006FF" w:usb1="4000205B" w:usb2="00000010" w:usb3="00000000" w:csb0="2000019F" w:csb1="00000000"/>
  </w:font>
  <w:font w:name="方正黑体_GBK">
    <w:panose1 w:val="03000509000000000000"/>
    <w:charset w:val="86"/>
    <w:family w:val="auto"/>
    <w:pitch w:val="default"/>
    <w:sig w:usb0="00000001" w:usb1="080E0000" w:usb2="00000000" w:usb3="00000000" w:csb0="00040000" w:csb1="00000000"/>
    <w:embedRegular r:id="rId6" w:fontKey="{53AE964D-1D5A-4BF3-8063-9B0BE49567AA}"/>
  </w:font>
  <w:font w:name="方正仿宋简体">
    <w:panose1 w:val="03000509000000000000"/>
    <w:charset w:val="86"/>
    <w:family w:val="auto"/>
    <w:pitch w:val="default"/>
    <w:sig w:usb0="00000001" w:usb1="080E0000" w:usb2="00000000" w:usb3="00000000" w:csb0="00040000" w:csb1="00000000"/>
    <w:embedRegular r:id="rId7" w:fontKey="{904ED44C-1B3A-4DDD-B741-3929D58F70CE}"/>
  </w:font>
  <w:font w:name="新宋体">
    <w:panose1 w:val="02010609030101010101"/>
    <w:charset w:val="86"/>
    <w:family w:val="modern"/>
    <w:pitch w:val="default"/>
    <w:sig w:usb0="00000003" w:usb1="288F0000" w:usb2="00000006" w:usb3="00000000" w:csb0="00040001" w:csb1="00000000"/>
    <w:embedRegular r:id="rId8" w:fontKey="{539B396D-D446-463B-8E88-436AD8FFCB0E}"/>
  </w:font>
  <w:font w:name="WPSEMBED1">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DF30">
    <w:pPr>
      <w:pStyle w:val="3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2CD34">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F2CD34">
                    <w:pPr>
                      <w:pStyle w:val="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04EE5">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CC9D2">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2CC9D2">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5597B">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CD1E30">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ACD1E30">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31828">
    <w:pPr>
      <w:pStyle w:val="314"/>
      <w:pBdr>
        <w:bottom w:val="none" w:color="auto" w:sz="0" w:space="1"/>
      </w:pBdr>
      <w:jc w:val="center"/>
      <w:rPr>
        <w:rFonts w:hint="eastAsia"/>
        <w:lang w:eastAsia="zh-CN"/>
      </w:rPr>
    </w:pPr>
    <w:bookmarkStart w:id="53" w:name="_Hlk69393956"/>
    <w:bookmarkStart w:id="54" w:name="_Hlk69393955"/>
  </w:p>
  <w:p w14:paraId="40C88CF8">
    <w:pPr>
      <w:pStyle w:val="314"/>
      <w:pBdr>
        <w:bottom w:val="none" w:color="auto" w:sz="0" w:space="1"/>
      </w:pBdr>
      <w:jc w:val="center"/>
      <w:rPr>
        <w:szCs w:val="22"/>
      </w:rPr>
    </w:pPr>
    <w:r>
      <w:rPr>
        <w:rFonts w:hint="eastAsia"/>
        <w:lang w:eastAsia="zh-CN"/>
      </w:rPr>
      <w:t>南京市江宁医院院内磋商文件</w:t>
    </w:r>
    <w:bookmarkEnd w:id="53"/>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8B669"/>
    <w:multiLevelType w:val="singleLevel"/>
    <w:tmpl w:val="8108B669"/>
    <w:lvl w:ilvl="0" w:tentative="0">
      <w:start w:val="3"/>
      <w:numFmt w:val="chineseCounting"/>
      <w:suff w:val="nothing"/>
      <w:lvlText w:val="（%1）"/>
      <w:lvlJc w:val="left"/>
      <w:rPr>
        <w:rFonts w:hint="eastAsia"/>
      </w:rPr>
    </w:lvl>
  </w:abstractNum>
  <w:abstractNum w:abstractNumId="1">
    <w:nsid w:val="81ADB64E"/>
    <w:multiLevelType w:val="singleLevel"/>
    <w:tmpl w:val="81ADB64E"/>
    <w:lvl w:ilvl="0" w:tentative="0">
      <w:start w:val="1"/>
      <w:numFmt w:val="decimal"/>
      <w:suff w:val="nothing"/>
      <w:lvlText w:val="%1．"/>
      <w:lvlJc w:val="left"/>
      <w:pPr>
        <w:ind w:left="0" w:firstLine="400"/>
      </w:pPr>
      <w:rPr>
        <w:rFonts w:hint="default"/>
      </w:rPr>
    </w:lvl>
  </w:abstractNum>
  <w:abstractNum w:abstractNumId="2">
    <w:nsid w:val="8AD3B7DA"/>
    <w:multiLevelType w:val="singleLevel"/>
    <w:tmpl w:val="8AD3B7DA"/>
    <w:lvl w:ilvl="0" w:tentative="0">
      <w:start w:val="5"/>
      <w:numFmt w:val="decimal"/>
      <w:lvlText w:val="%1."/>
      <w:lvlJc w:val="left"/>
      <w:pPr>
        <w:tabs>
          <w:tab w:val="left" w:pos="312"/>
        </w:tabs>
      </w:pPr>
    </w:lvl>
  </w:abstractNum>
  <w:abstractNum w:abstractNumId="3">
    <w:nsid w:val="9BAC8E5D"/>
    <w:multiLevelType w:val="singleLevel"/>
    <w:tmpl w:val="9BAC8E5D"/>
    <w:lvl w:ilvl="0" w:tentative="0">
      <w:start w:val="2"/>
      <w:numFmt w:val="chineseCounting"/>
      <w:suff w:val="nothing"/>
      <w:lvlText w:val="%1、"/>
      <w:lvlJc w:val="left"/>
      <w:rPr>
        <w:rFonts w:hint="eastAsia"/>
      </w:rPr>
    </w:lvl>
  </w:abstractNum>
  <w:abstractNum w:abstractNumId="4">
    <w:nsid w:val="AF5DDEE0"/>
    <w:multiLevelType w:val="singleLevel"/>
    <w:tmpl w:val="AF5DDEE0"/>
    <w:lvl w:ilvl="0" w:tentative="0">
      <w:start w:val="1"/>
      <w:numFmt w:val="decimal"/>
      <w:suff w:val="nothing"/>
      <w:lvlText w:val="%1．"/>
      <w:lvlJc w:val="left"/>
      <w:pPr>
        <w:ind w:left="0" w:firstLine="400"/>
      </w:pPr>
      <w:rPr>
        <w:rFonts w:hint="default"/>
      </w:rPr>
    </w:lvl>
  </w:abstractNum>
  <w:abstractNum w:abstractNumId="5">
    <w:nsid w:val="B31F6EC4"/>
    <w:multiLevelType w:val="singleLevel"/>
    <w:tmpl w:val="B31F6EC4"/>
    <w:lvl w:ilvl="0" w:tentative="0">
      <w:start w:val="1"/>
      <w:numFmt w:val="decimal"/>
      <w:suff w:val="nothing"/>
      <w:lvlText w:val="%1．"/>
      <w:lvlJc w:val="left"/>
      <w:pPr>
        <w:ind w:left="0" w:firstLine="400"/>
      </w:pPr>
      <w:rPr>
        <w:rFonts w:hint="default"/>
      </w:rPr>
    </w:lvl>
  </w:abstractNum>
  <w:abstractNum w:abstractNumId="6">
    <w:nsid w:val="B430560D"/>
    <w:multiLevelType w:val="singleLevel"/>
    <w:tmpl w:val="B430560D"/>
    <w:lvl w:ilvl="0" w:tentative="0">
      <w:start w:val="1"/>
      <w:numFmt w:val="decimal"/>
      <w:suff w:val="nothing"/>
      <w:lvlText w:val="%1．"/>
      <w:lvlJc w:val="left"/>
      <w:pPr>
        <w:ind w:left="0" w:firstLine="400"/>
      </w:pPr>
      <w:rPr>
        <w:rFonts w:hint="default"/>
      </w:rPr>
    </w:lvl>
  </w:abstractNum>
  <w:abstractNum w:abstractNumId="7">
    <w:nsid w:val="B9E1969A"/>
    <w:multiLevelType w:val="singleLevel"/>
    <w:tmpl w:val="B9E1969A"/>
    <w:lvl w:ilvl="0" w:tentative="0">
      <w:start w:val="1"/>
      <w:numFmt w:val="decimal"/>
      <w:suff w:val="nothing"/>
      <w:lvlText w:val="%1．"/>
      <w:lvlJc w:val="left"/>
      <w:pPr>
        <w:ind w:left="0" w:firstLine="400"/>
      </w:pPr>
      <w:rPr>
        <w:rFonts w:hint="default"/>
      </w:rPr>
    </w:lvl>
  </w:abstractNum>
  <w:abstractNum w:abstractNumId="8">
    <w:nsid w:val="BF205925"/>
    <w:multiLevelType w:val="multilevel"/>
    <w:tmpl w:val="BF205925"/>
    <w:lvl w:ilvl="0" w:tentative="0">
      <w:start w:val="4"/>
      <w:numFmt w:val="chineseCounting"/>
      <w:suff w:val="space"/>
      <w:lvlText w:val="第%1章"/>
      <w:lvlJc w:val="left"/>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9">
    <w:nsid w:val="CF092B84"/>
    <w:multiLevelType w:val="multilevel"/>
    <w:tmpl w:val="CF092B84"/>
    <w:lvl w:ilvl="0" w:tentative="0">
      <w:start w:val="1"/>
      <w:numFmt w:val="bullet"/>
      <w:pStyle w:val="333"/>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0">
    <w:nsid w:val="D3A6B5A0"/>
    <w:multiLevelType w:val="singleLevel"/>
    <w:tmpl w:val="D3A6B5A0"/>
    <w:lvl w:ilvl="0" w:tentative="0">
      <w:start w:val="1"/>
      <w:numFmt w:val="decimal"/>
      <w:suff w:val="nothing"/>
      <w:lvlText w:val="%1．"/>
      <w:lvlJc w:val="left"/>
      <w:pPr>
        <w:ind w:left="0" w:firstLine="400"/>
      </w:pPr>
      <w:rPr>
        <w:rFonts w:hint="default"/>
      </w:rPr>
    </w:lvl>
  </w:abstractNum>
  <w:abstractNum w:abstractNumId="11">
    <w:nsid w:val="E1EB1760"/>
    <w:multiLevelType w:val="singleLevel"/>
    <w:tmpl w:val="E1EB1760"/>
    <w:lvl w:ilvl="0" w:tentative="0">
      <w:start w:val="1"/>
      <w:numFmt w:val="decimal"/>
      <w:suff w:val="nothing"/>
      <w:lvlText w:val="%1．"/>
      <w:lvlJc w:val="left"/>
      <w:pPr>
        <w:ind w:left="0" w:firstLine="400"/>
      </w:pPr>
      <w:rPr>
        <w:rFonts w:hint="default"/>
      </w:rPr>
    </w:lvl>
  </w:abstractNum>
  <w:abstractNum w:abstractNumId="12">
    <w:nsid w:val="0053208E"/>
    <w:multiLevelType w:val="multilevel"/>
    <w:tmpl w:val="0053208E"/>
    <w:lvl w:ilvl="0" w:tentative="0">
      <w:start w:val="1"/>
      <w:numFmt w:val="bullet"/>
      <w:pStyle w:val="110"/>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3">
    <w:nsid w:val="1BE2C785"/>
    <w:multiLevelType w:val="singleLevel"/>
    <w:tmpl w:val="1BE2C785"/>
    <w:lvl w:ilvl="0" w:tentative="0">
      <w:start w:val="1"/>
      <w:numFmt w:val="decimal"/>
      <w:suff w:val="nothing"/>
      <w:lvlText w:val="%1．"/>
      <w:lvlJc w:val="left"/>
      <w:pPr>
        <w:ind w:left="0" w:firstLine="400"/>
      </w:pPr>
      <w:rPr>
        <w:rFonts w:hint="default"/>
      </w:rPr>
    </w:lvl>
  </w:abstractNum>
  <w:abstractNum w:abstractNumId="14">
    <w:nsid w:val="5128B00A"/>
    <w:multiLevelType w:val="singleLevel"/>
    <w:tmpl w:val="5128B00A"/>
    <w:lvl w:ilvl="0" w:tentative="0">
      <w:start w:val="1"/>
      <w:numFmt w:val="decimal"/>
      <w:suff w:val="nothing"/>
      <w:lvlText w:val="%1．"/>
      <w:lvlJc w:val="left"/>
      <w:pPr>
        <w:ind w:left="0" w:firstLine="400"/>
      </w:pPr>
      <w:rPr>
        <w:rFonts w:hint="default"/>
      </w:rPr>
    </w:lvl>
  </w:abstractNum>
  <w:abstractNum w:abstractNumId="15">
    <w:nsid w:val="7B19C20E"/>
    <w:multiLevelType w:val="singleLevel"/>
    <w:tmpl w:val="7B19C20E"/>
    <w:lvl w:ilvl="0" w:tentative="0">
      <w:start w:val="1"/>
      <w:numFmt w:val="decimal"/>
      <w:suff w:val="nothing"/>
      <w:lvlText w:val="%1．"/>
      <w:lvlJc w:val="left"/>
      <w:pPr>
        <w:ind w:left="-117" w:firstLine="400"/>
      </w:pPr>
      <w:rPr>
        <w:rFonts w:hint="default"/>
      </w:rPr>
    </w:lvl>
  </w:abstractNum>
  <w:abstractNum w:abstractNumId="16">
    <w:nsid w:val="7F8E650C"/>
    <w:multiLevelType w:val="singleLevel"/>
    <w:tmpl w:val="7F8E650C"/>
    <w:lvl w:ilvl="0" w:tentative="0">
      <w:start w:val="1"/>
      <w:numFmt w:val="chineseCounting"/>
      <w:suff w:val="nothing"/>
      <w:lvlText w:val="%1、"/>
      <w:lvlJc w:val="left"/>
      <w:rPr>
        <w:rFonts w:hint="eastAsia"/>
      </w:rPr>
    </w:lvl>
  </w:abstractNum>
  <w:num w:numId="1">
    <w:abstractNumId w:val="12"/>
  </w:num>
  <w:num w:numId="2">
    <w:abstractNumId w:val="9"/>
  </w:num>
  <w:num w:numId="3">
    <w:abstractNumId w:val="2"/>
  </w:num>
  <w:num w:numId="4">
    <w:abstractNumId w:val="6"/>
  </w:num>
  <w:num w:numId="5">
    <w:abstractNumId w:val="1"/>
  </w:num>
  <w:num w:numId="6">
    <w:abstractNumId w:val="14"/>
  </w:num>
  <w:num w:numId="7">
    <w:abstractNumId w:val="15"/>
  </w:num>
  <w:num w:numId="8">
    <w:abstractNumId w:val="7"/>
  </w:num>
  <w:num w:numId="9">
    <w:abstractNumId w:val="13"/>
  </w:num>
  <w:num w:numId="10">
    <w:abstractNumId w:val="4"/>
  </w:num>
  <w:num w:numId="11">
    <w:abstractNumId w:val="11"/>
  </w:num>
  <w:num w:numId="12">
    <w:abstractNumId w:val="10"/>
  </w:num>
  <w:num w:numId="13">
    <w:abstractNumId w:val="5"/>
  </w:num>
  <w:num w:numId="14">
    <w:abstractNumId w:val="8"/>
  </w:num>
  <w:num w:numId="15">
    <w:abstractNumId w:val="0"/>
  </w:num>
  <w:num w:numId="16">
    <w:abstractNumId w:val="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6CA0"/>
    <w:rsid w:val="00B406C6"/>
    <w:rsid w:val="00BF0E19"/>
    <w:rsid w:val="00C9289D"/>
    <w:rsid w:val="01CF32DE"/>
    <w:rsid w:val="01EF5D79"/>
    <w:rsid w:val="0212119E"/>
    <w:rsid w:val="02317AF5"/>
    <w:rsid w:val="02624152"/>
    <w:rsid w:val="02E65D48"/>
    <w:rsid w:val="03305C01"/>
    <w:rsid w:val="03A34D94"/>
    <w:rsid w:val="03D1333D"/>
    <w:rsid w:val="041142BB"/>
    <w:rsid w:val="04607AF8"/>
    <w:rsid w:val="04FC1E69"/>
    <w:rsid w:val="0517535C"/>
    <w:rsid w:val="051E25B2"/>
    <w:rsid w:val="0543026B"/>
    <w:rsid w:val="05551D4C"/>
    <w:rsid w:val="057335C1"/>
    <w:rsid w:val="05B90594"/>
    <w:rsid w:val="065B15E4"/>
    <w:rsid w:val="06991AC1"/>
    <w:rsid w:val="06C573C2"/>
    <w:rsid w:val="06F87984"/>
    <w:rsid w:val="0709503F"/>
    <w:rsid w:val="073A38EF"/>
    <w:rsid w:val="07656044"/>
    <w:rsid w:val="07CD741C"/>
    <w:rsid w:val="07DB29DD"/>
    <w:rsid w:val="081E4FBF"/>
    <w:rsid w:val="082064E9"/>
    <w:rsid w:val="082C4FE6"/>
    <w:rsid w:val="084A3B76"/>
    <w:rsid w:val="0872215D"/>
    <w:rsid w:val="08A968BC"/>
    <w:rsid w:val="08C416C3"/>
    <w:rsid w:val="0946022C"/>
    <w:rsid w:val="09933E7A"/>
    <w:rsid w:val="0A065003"/>
    <w:rsid w:val="0A20501F"/>
    <w:rsid w:val="0A3D6FF9"/>
    <w:rsid w:val="0AA96DC2"/>
    <w:rsid w:val="0ADD6AFC"/>
    <w:rsid w:val="0B520B0D"/>
    <w:rsid w:val="0B7A075E"/>
    <w:rsid w:val="0B856275"/>
    <w:rsid w:val="0B931B22"/>
    <w:rsid w:val="0BD83386"/>
    <w:rsid w:val="0BE1433A"/>
    <w:rsid w:val="0C436DA2"/>
    <w:rsid w:val="0CEC743A"/>
    <w:rsid w:val="0D0227BA"/>
    <w:rsid w:val="0D0A6C23"/>
    <w:rsid w:val="0D1B1E9F"/>
    <w:rsid w:val="0D220829"/>
    <w:rsid w:val="0D86113E"/>
    <w:rsid w:val="0DE2611B"/>
    <w:rsid w:val="0DF531D6"/>
    <w:rsid w:val="0E2B26BF"/>
    <w:rsid w:val="0E8D2C45"/>
    <w:rsid w:val="0EB16B43"/>
    <w:rsid w:val="0F1467D4"/>
    <w:rsid w:val="0F73174D"/>
    <w:rsid w:val="0F7F6B2B"/>
    <w:rsid w:val="0FB04F84"/>
    <w:rsid w:val="0FD03043"/>
    <w:rsid w:val="106A2B50"/>
    <w:rsid w:val="106F0166"/>
    <w:rsid w:val="10AB4892"/>
    <w:rsid w:val="10BA218A"/>
    <w:rsid w:val="10D3525A"/>
    <w:rsid w:val="10EA5A3E"/>
    <w:rsid w:val="113E3458"/>
    <w:rsid w:val="11C42733"/>
    <w:rsid w:val="12B66520"/>
    <w:rsid w:val="12BC1495"/>
    <w:rsid w:val="13174AE5"/>
    <w:rsid w:val="145D79B4"/>
    <w:rsid w:val="148211CE"/>
    <w:rsid w:val="14E909DB"/>
    <w:rsid w:val="14FB0B0C"/>
    <w:rsid w:val="15640B1E"/>
    <w:rsid w:val="15FA6724"/>
    <w:rsid w:val="16011135"/>
    <w:rsid w:val="165204D8"/>
    <w:rsid w:val="171B52F9"/>
    <w:rsid w:val="17604CAC"/>
    <w:rsid w:val="17684F38"/>
    <w:rsid w:val="17F378CF"/>
    <w:rsid w:val="18787DD4"/>
    <w:rsid w:val="18DC65B5"/>
    <w:rsid w:val="18F367AA"/>
    <w:rsid w:val="1968104D"/>
    <w:rsid w:val="198E75BF"/>
    <w:rsid w:val="1A497C7A"/>
    <w:rsid w:val="1A8567D8"/>
    <w:rsid w:val="1AE92752"/>
    <w:rsid w:val="1AFC6A9A"/>
    <w:rsid w:val="1B085CC8"/>
    <w:rsid w:val="1B687FD1"/>
    <w:rsid w:val="1BA15D3E"/>
    <w:rsid w:val="1BE66DCA"/>
    <w:rsid w:val="1C511068"/>
    <w:rsid w:val="1C8E6761"/>
    <w:rsid w:val="1CC763F6"/>
    <w:rsid w:val="1D3F6283"/>
    <w:rsid w:val="1E164317"/>
    <w:rsid w:val="1E526768"/>
    <w:rsid w:val="1E9445B9"/>
    <w:rsid w:val="1E95387D"/>
    <w:rsid w:val="1EB853CE"/>
    <w:rsid w:val="1F9D6372"/>
    <w:rsid w:val="1FB278C6"/>
    <w:rsid w:val="1FB4029C"/>
    <w:rsid w:val="1FCB2EDF"/>
    <w:rsid w:val="206D77B9"/>
    <w:rsid w:val="207672EF"/>
    <w:rsid w:val="20B57B0A"/>
    <w:rsid w:val="20D81558"/>
    <w:rsid w:val="21276DDC"/>
    <w:rsid w:val="21817CF9"/>
    <w:rsid w:val="21AC056E"/>
    <w:rsid w:val="21D2742D"/>
    <w:rsid w:val="21E54058"/>
    <w:rsid w:val="21F229A5"/>
    <w:rsid w:val="221422BD"/>
    <w:rsid w:val="223F7601"/>
    <w:rsid w:val="2255447F"/>
    <w:rsid w:val="226A69DF"/>
    <w:rsid w:val="22830A38"/>
    <w:rsid w:val="22EE7610"/>
    <w:rsid w:val="22F66958"/>
    <w:rsid w:val="232A5835"/>
    <w:rsid w:val="23841D07"/>
    <w:rsid w:val="242023D2"/>
    <w:rsid w:val="242A68C8"/>
    <w:rsid w:val="244A6AC8"/>
    <w:rsid w:val="24C96531"/>
    <w:rsid w:val="24F25009"/>
    <w:rsid w:val="24F82CA0"/>
    <w:rsid w:val="25143F64"/>
    <w:rsid w:val="251B39D2"/>
    <w:rsid w:val="257B4F53"/>
    <w:rsid w:val="25A0096A"/>
    <w:rsid w:val="265C3AC2"/>
    <w:rsid w:val="267C2AEB"/>
    <w:rsid w:val="268828FF"/>
    <w:rsid w:val="269E296F"/>
    <w:rsid w:val="26E62F10"/>
    <w:rsid w:val="26E86FB0"/>
    <w:rsid w:val="26FD2518"/>
    <w:rsid w:val="27DF3EA4"/>
    <w:rsid w:val="2855751C"/>
    <w:rsid w:val="286477EF"/>
    <w:rsid w:val="28DF71C2"/>
    <w:rsid w:val="2973086F"/>
    <w:rsid w:val="29842058"/>
    <w:rsid w:val="29B844D4"/>
    <w:rsid w:val="29D3130E"/>
    <w:rsid w:val="29E94AB7"/>
    <w:rsid w:val="29F319B0"/>
    <w:rsid w:val="2AD0640E"/>
    <w:rsid w:val="2ADF60B4"/>
    <w:rsid w:val="2BE4414C"/>
    <w:rsid w:val="2D0E2E10"/>
    <w:rsid w:val="2D1051FA"/>
    <w:rsid w:val="2D9139BA"/>
    <w:rsid w:val="2EA74B17"/>
    <w:rsid w:val="2EDD678B"/>
    <w:rsid w:val="2F462582"/>
    <w:rsid w:val="2F913BFB"/>
    <w:rsid w:val="30026346"/>
    <w:rsid w:val="302624F2"/>
    <w:rsid w:val="30656D4A"/>
    <w:rsid w:val="30855729"/>
    <w:rsid w:val="308A0ABA"/>
    <w:rsid w:val="30C45D6E"/>
    <w:rsid w:val="31684A32"/>
    <w:rsid w:val="318555E4"/>
    <w:rsid w:val="31B01361"/>
    <w:rsid w:val="31F479A4"/>
    <w:rsid w:val="320C360F"/>
    <w:rsid w:val="322E4D64"/>
    <w:rsid w:val="328E1659"/>
    <w:rsid w:val="32907C25"/>
    <w:rsid w:val="330B4620"/>
    <w:rsid w:val="338813BB"/>
    <w:rsid w:val="33964F33"/>
    <w:rsid w:val="3399789C"/>
    <w:rsid w:val="33C40BD7"/>
    <w:rsid w:val="33CD5020"/>
    <w:rsid w:val="33E54CB2"/>
    <w:rsid w:val="34364FF6"/>
    <w:rsid w:val="346D53BD"/>
    <w:rsid w:val="3498542C"/>
    <w:rsid w:val="34A6189E"/>
    <w:rsid w:val="357F33D2"/>
    <w:rsid w:val="359F4BBF"/>
    <w:rsid w:val="35B81F95"/>
    <w:rsid w:val="361138EA"/>
    <w:rsid w:val="36681030"/>
    <w:rsid w:val="36C37795"/>
    <w:rsid w:val="36C97D20"/>
    <w:rsid w:val="37113475"/>
    <w:rsid w:val="372B3C54"/>
    <w:rsid w:val="37600778"/>
    <w:rsid w:val="37CF0A4D"/>
    <w:rsid w:val="37E27F6B"/>
    <w:rsid w:val="382E19B4"/>
    <w:rsid w:val="39056405"/>
    <w:rsid w:val="3A2F2590"/>
    <w:rsid w:val="3A3135FD"/>
    <w:rsid w:val="3AAD3D2C"/>
    <w:rsid w:val="3AFA0DF0"/>
    <w:rsid w:val="3B385475"/>
    <w:rsid w:val="3B926A38"/>
    <w:rsid w:val="3BA532A0"/>
    <w:rsid w:val="3BB865B6"/>
    <w:rsid w:val="3BC91418"/>
    <w:rsid w:val="3C0E2679"/>
    <w:rsid w:val="3C306088"/>
    <w:rsid w:val="3C7324DC"/>
    <w:rsid w:val="3C8F7F2E"/>
    <w:rsid w:val="3CA8487C"/>
    <w:rsid w:val="3D956BAE"/>
    <w:rsid w:val="3D976D74"/>
    <w:rsid w:val="3E65280E"/>
    <w:rsid w:val="3E8E35FE"/>
    <w:rsid w:val="3E907376"/>
    <w:rsid w:val="3ED351FA"/>
    <w:rsid w:val="3FB47094"/>
    <w:rsid w:val="3FE7524B"/>
    <w:rsid w:val="400733DB"/>
    <w:rsid w:val="407E2050"/>
    <w:rsid w:val="409F5F96"/>
    <w:rsid w:val="41261E09"/>
    <w:rsid w:val="41BB295C"/>
    <w:rsid w:val="41C837F8"/>
    <w:rsid w:val="42361EDD"/>
    <w:rsid w:val="426C3C56"/>
    <w:rsid w:val="432937C0"/>
    <w:rsid w:val="43421722"/>
    <w:rsid w:val="43CA332A"/>
    <w:rsid w:val="43E23908"/>
    <w:rsid w:val="442230BD"/>
    <w:rsid w:val="444058F7"/>
    <w:rsid w:val="444162D1"/>
    <w:rsid w:val="44617E71"/>
    <w:rsid w:val="446C0EDF"/>
    <w:rsid w:val="44743BD9"/>
    <w:rsid w:val="449D13B8"/>
    <w:rsid w:val="44C91833"/>
    <w:rsid w:val="44D426B2"/>
    <w:rsid w:val="452D3C06"/>
    <w:rsid w:val="45796DB6"/>
    <w:rsid w:val="45A978DA"/>
    <w:rsid w:val="45CA13BF"/>
    <w:rsid w:val="46013582"/>
    <w:rsid w:val="46345F30"/>
    <w:rsid w:val="469977A6"/>
    <w:rsid w:val="46BD163A"/>
    <w:rsid w:val="474969A9"/>
    <w:rsid w:val="476870E2"/>
    <w:rsid w:val="4828256E"/>
    <w:rsid w:val="488241D3"/>
    <w:rsid w:val="48ED6C98"/>
    <w:rsid w:val="498E0956"/>
    <w:rsid w:val="49940662"/>
    <w:rsid w:val="49C16F7D"/>
    <w:rsid w:val="4A02381D"/>
    <w:rsid w:val="4A62606A"/>
    <w:rsid w:val="4AA77F21"/>
    <w:rsid w:val="4ABB577A"/>
    <w:rsid w:val="4AE86BB0"/>
    <w:rsid w:val="4B257098"/>
    <w:rsid w:val="4B2F79E9"/>
    <w:rsid w:val="4B774869"/>
    <w:rsid w:val="4BD72A88"/>
    <w:rsid w:val="4C02529D"/>
    <w:rsid w:val="4C0A1E58"/>
    <w:rsid w:val="4C312198"/>
    <w:rsid w:val="4C3C28EB"/>
    <w:rsid w:val="4C3D6D8F"/>
    <w:rsid w:val="4C804ECE"/>
    <w:rsid w:val="4C9E5354"/>
    <w:rsid w:val="4D381B3A"/>
    <w:rsid w:val="4D981DA3"/>
    <w:rsid w:val="4E105DDD"/>
    <w:rsid w:val="4E816CDB"/>
    <w:rsid w:val="4EB41733"/>
    <w:rsid w:val="4F38383D"/>
    <w:rsid w:val="4F5148FF"/>
    <w:rsid w:val="4F624D5E"/>
    <w:rsid w:val="4F7F321A"/>
    <w:rsid w:val="4FA233AD"/>
    <w:rsid w:val="4FAB04B3"/>
    <w:rsid w:val="50504501"/>
    <w:rsid w:val="505A2863"/>
    <w:rsid w:val="510460CD"/>
    <w:rsid w:val="5116195C"/>
    <w:rsid w:val="5119144D"/>
    <w:rsid w:val="511E6A63"/>
    <w:rsid w:val="51B315A8"/>
    <w:rsid w:val="51C969CF"/>
    <w:rsid w:val="5275501F"/>
    <w:rsid w:val="528278FD"/>
    <w:rsid w:val="52CA2DCE"/>
    <w:rsid w:val="53035F10"/>
    <w:rsid w:val="54614638"/>
    <w:rsid w:val="54890697"/>
    <w:rsid w:val="54DC72B2"/>
    <w:rsid w:val="54E65A69"/>
    <w:rsid w:val="550B5550"/>
    <w:rsid w:val="55855F20"/>
    <w:rsid w:val="55D65B5E"/>
    <w:rsid w:val="55E87D5E"/>
    <w:rsid w:val="55F11B90"/>
    <w:rsid w:val="56CE31FA"/>
    <w:rsid w:val="56D227CA"/>
    <w:rsid w:val="570D3802"/>
    <w:rsid w:val="57B8349E"/>
    <w:rsid w:val="588B22C9"/>
    <w:rsid w:val="58A02613"/>
    <w:rsid w:val="58E15567"/>
    <w:rsid w:val="58F5275D"/>
    <w:rsid w:val="59254EDD"/>
    <w:rsid w:val="592B20FE"/>
    <w:rsid w:val="5A5D23AA"/>
    <w:rsid w:val="5AF30E4E"/>
    <w:rsid w:val="5AF328A2"/>
    <w:rsid w:val="5B1B4CB0"/>
    <w:rsid w:val="5B6776D9"/>
    <w:rsid w:val="5B91147E"/>
    <w:rsid w:val="5B92678E"/>
    <w:rsid w:val="5BCD083F"/>
    <w:rsid w:val="5BD424E2"/>
    <w:rsid w:val="5BFE2871"/>
    <w:rsid w:val="5CD143DA"/>
    <w:rsid w:val="5D0D6309"/>
    <w:rsid w:val="5D3E7177"/>
    <w:rsid w:val="5E2450F6"/>
    <w:rsid w:val="5E622685"/>
    <w:rsid w:val="5E8C0850"/>
    <w:rsid w:val="5EA97D3F"/>
    <w:rsid w:val="5EF64B7B"/>
    <w:rsid w:val="5FA25D6B"/>
    <w:rsid w:val="60200102"/>
    <w:rsid w:val="603040BD"/>
    <w:rsid w:val="60795A64"/>
    <w:rsid w:val="60A02AAA"/>
    <w:rsid w:val="60B03529"/>
    <w:rsid w:val="61B2122D"/>
    <w:rsid w:val="61BC3E5A"/>
    <w:rsid w:val="61BE0297"/>
    <w:rsid w:val="62B3194B"/>
    <w:rsid w:val="62C204A2"/>
    <w:rsid w:val="63116428"/>
    <w:rsid w:val="632E2B36"/>
    <w:rsid w:val="63A65BE7"/>
    <w:rsid w:val="641E0DFC"/>
    <w:rsid w:val="654F7AC4"/>
    <w:rsid w:val="65AC2438"/>
    <w:rsid w:val="66114BC9"/>
    <w:rsid w:val="66343FF5"/>
    <w:rsid w:val="664247D1"/>
    <w:rsid w:val="666920D7"/>
    <w:rsid w:val="670961A8"/>
    <w:rsid w:val="671E1113"/>
    <w:rsid w:val="678371C8"/>
    <w:rsid w:val="67BC333A"/>
    <w:rsid w:val="67E7062C"/>
    <w:rsid w:val="681C2B3A"/>
    <w:rsid w:val="684452AE"/>
    <w:rsid w:val="68565835"/>
    <w:rsid w:val="689D4254"/>
    <w:rsid w:val="68A45648"/>
    <w:rsid w:val="68A5389A"/>
    <w:rsid w:val="68AB7D07"/>
    <w:rsid w:val="69594684"/>
    <w:rsid w:val="69B96C4C"/>
    <w:rsid w:val="6A140A8D"/>
    <w:rsid w:val="6A3B19C7"/>
    <w:rsid w:val="6B8D6867"/>
    <w:rsid w:val="6C156F89"/>
    <w:rsid w:val="6C200D98"/>
    <w:rsid w:val="6C835F4E"/>
    <w:rsid w:val="6C974013"/>
    <w:rsid w:val="6C9D0ECA"/>
    <w:rsid w:val="6D7139D6"/>
    <w:rsid w:val="6DDE15FC"/>
    <w:rsid w:val="6E11552E"/>
    <w:rsid w:val="6E454898"/>
    <w:rsid w:val="6EA2262A"/>
    <w:rsid w:val="6EBE187F"/>
    <w:rsid w:val="6ECB41F5"/>
    <w:rsid w:val="6ECD53E2"/>
    <w:rsid w:val="6F1A16D8"/>
    <w:rsid w:val="6F9F47A5"/>
    <w:rsid w:val="700E441B"/>
    <w:rsid w:val="70273465"/>
    <w:rsid w:val="70B85AA8"/>
    <w:rsid w:val="70BF5715"/>
    <w:rsid w:val="71922B44"/>
    <w:rsid w:val="71B32B29"/>
    <w:rsid w:val="71FD6BEA"/>
    <w:rsid w:val="721077B4"/>
    <w:rsid w:val="7231619E"/>
    <w:rsid w:val="724B7F2C"/>
    <w:rsid w:val="725D6F93"/>
    <w:rsid w:val="72B76997"/>
    <w:rsid w:val="73441F01"/>
    <w:rsid w:val="73DF2701"/>
    <w:rsid w:val="7408419C"/>
    <w:rsid w:val="744C5E81"/>
    <w:rsid w:val="7494112F"/>
    <w:rsid w:val="74EB4EF4"/>
    <w:rsid w:val="7518237F"/>
    <w:rsid w:val="756248C1"/>
    <w:rsid w:val="75986535"/>
    <w:rsid w:val="75FA3FBF"/>
    <w:rsid w:val="774802BD"/>
    <w:rsid w:val="77480717"/>
    <w:rsid w:val="77867180"/>
    <w:rsid w:val="77FF76BB"/>
    <w:rsid w:val="782E2378"/>
    <w:rsid w:val="78872FBC"/>
    <w:rsid w:val="78CF4847"/>
    <w:rsid w:val="7909345B"/>
    <w:rsid w:val="79215881"/>
    <w:rsid w:val="7AAD678E"/>
    <w:rsid w:val="7AD95625"/>
    <w:rsid w:val="7B160627"/>
    <w:rsid w:val="7BFD5343"/>
    <w:rsid w:val="7C631074"/>
    <w:rsid w:val="7C6C7CE4"/>
    <w:rsid w:val="7C8147AF"/>
    <w:rsid w:val="7C842FCD"/>
    <w:rsid w:val="7CB41BB0"/>
    <w:rsid w:val="7D2428A3"/>
    <w:rsid w:val="7E087573"/>
    <w:rsid w:val="7E1075B0"/>
    <w:rsid w:val="7E9052F2"/>
    <w:rsid w:val="7E992F7E"/>
    <w:rsid w:val="7ED13ED6"/>
    <w:rsid w:val="7F32323D"/>
    <w:rsid w:val="7FD27E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59"/>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2">
    <w:name w:val="heading 1"/>
    <w:basedOn w:val="1"/>
    <w:next w:val="1"/>
    <w:qFormat/>
    <w:uiPriority w:val="9"/>
    <w:pPr>
      <w:keepNext/>
      <w:keepLines/>
      <w:spacing w:before="480" w:after="200"/>
      <w:jc w:val="center"/>
      <w:outlineLvl w:val="0"/>
    </w:pPr>
    <w:rPr>
      <w:rFonts w:ascii="Arial" w:hAnsi="Arial" w:eastAsia="Arial" w:cs="Arial"/>
      <w:b/>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Body Text"/>
    <w:basedOn w:val="1"/>
    <w:next w:val="1"/>
    <w:qFormat/>
    <w:uiPriority w:val="0"/>
    <w:pPr>
      <w:spacing w:line="60" w:lineRule="auto"/>
    </w:pPr>
    <w:rPr>
      <w:rFonts w:ascii="仿宋_GB2312" w:eastAsia="仿宋_GB2312"/>
      <w:sz w:val="32"/>
    </w:rPr>
  </w:style>
  <w:style w:type="paragraph" w:styleId="14">
    <w:name w:val="Body Text Indent"/>
    <w:basedOn w:val="1"/>
    <w:next w:val="15"/>
    <w:qFormat/>
    <w:uiPriority w:val="0"/>
    <w:pPr>
      <w:ind w:firstLine="225" w:firstLineChars="225"/>
    </w:pPr>
    <w:rPr>
      <w:rFonts w:ascii="仿宋_GB2312" w:eastAsia="仿宋_GB2312"/>
      <w:sz w:val="32"/>
    </w:rPr>
  </w:style>
  <w:style w:type="paragraph" w:styleId="15">
    <w:name w:val="envelope return"/>
    <w:basedOn w:val="1"/>
    <w:unhideWhenUsed/>
    <w:qFormat/>
    <w:uiPriority w:val="99"/>
    <w:pPr>
      <w:snapToGrid w:val="0"/>
    </w:pPr>
    <w:rPr>
      <w:rFonts w:ascii="Cambria" w:hAnsi="Cambria" w:eastAsia="宋体" w:cs="Times New Roman"/>
    </w:rPr>
  </w:style>
  <w:style w:type="paragraph" w:styleId="16">
    <w:name w:val="toc 5"/>
    <w:basedOn w:val="1"/>
    <w:next w:val="1"/>
    <w:unhideWhenUsed/>
    <w:qFormat/>
    <w:uiPriority w:val="39"/>
    <w:pPr>
      <w:spacing w:after="57"/>
      <w:ind w:left="1134" w:right="0" w:firstLine="0"/>
    </w:pPr>
  </w:style>
  <w:style w:type="paragraph" w:styleId="17">
    <w:name w:val="toc 3"/>
    <w:basedOn w:val="1"/>
    <w:next w:val="1"/>
    <w:unhideWhenUsed/>
    <w:qFormat/>
    <w:uiPriority w:val="39"/>
    <w:pPr>
      <w:spacing w:after="57"/>
      <w:ind w:left="567" w:right="0" w:firstLine="0"/>
    </w:pPr>
  </w:style>
  <w:style w:type="paragraph" w:styleId="18">
    <w:name w:val="toc 8"/>
    <w:basedOn w:val="1"/>
    <w:next w:val="1"/>
    <w:unhideWhenUsed/>
    <w:qFormat/>
    <w:uiPriority w:val="39"/>
    <w:pPr>
      <w:spacing w:after="57"/>
      <w:ind w:left="1984" w:right="0" w:firstLine="0"/>
    </w:pPr>
  </w:style>
  <w:style w:type="paragraph" w:styleId="19">
    <w:name w:val="endnote text"/>
    <w:basedOn w:val="1"/>
    <w:semiHidden/>
    <w:unhideWhenUsed/>
    <w:qFormat/>
    <w:uiPriority w:val="99"/>
    <w:pPr>
      <w:spacing w:after="0" w:line="240" w:lineRule="auto"/>
    </w:pPr>
    <w:rPr>
      <w:sz w:val="20"/>
    </w:rPr>
  </w:style>
  <w:style w:type="paragraph" w:styleId="20">
    <w:name w:val="footer"/>
    <w:basedOn w:val="1"/>
    <w:unhideWhenUsed/>
    <w:qFormat/>
    <w:uiPriority w:val="99"/>
    <w:pPr>
      <w:tabs>
        <w:tab w:val="center" w:pos="7143"/>
        <w:tab w:val="right" w:pos="14287"/>
      </w:tabs>
      <w:spacing w:after="0" w:line="240" w:lineRule="auto"/>
    </w:pPr>
  </w:style>
  <w:style w:type="paragraph" w:styleId="21">
    <w:name w:val="header"/>
    <w:basedOn w:val="1"/>
    <w:unhideWhenUsed/>
    <w:qFormat/>
    <w:uiPriority w:val="99"/>
    <w:pPr>
      <w:tabs>
        <w:tab w:val="center" w:pos="7143"/>
        <w:tab w:val="right" w:pos="14287"/>
      </w:tabs>
      <w:spacing w:after="0" w:line="240" w:lineRule="auto"/>
    </w:pPr>
  </w:style>
  <w:style w:type="paragraph" w:styleId="22">
    <w:name w:val="toc 1"/>
    <w:basedOn w:val="1"/>
    <w:next w:val="1"/>
    <w:unhideWhenUsed/>
    <w:qFormat/>
    <w:uiPriority w:val="39"/>
    <w:pPr>
      <w:spacing w:after="57"/>
      <w:ind w:left="0" w:right="0" w:firstLine="0"/>
    </w:pPr>
  </w:style>
  <w:style w:type="paragraph" w:styleId="23">
    <w:name w:val="toc 4"/>
    <w:basedOn w:val="1"/>
    <w:next w:val="1"/>
    <w:unhideWhenUsed/>
    <w:qFormat/>
    <w:uiPriority w:val="39"/>
    <w:pPr>
      <w:spacing w:after="57"/>
      <w:ind w:left="850" w:right="0" w:firstLine="0"/>
    </w:pPr>
  </w:style>
  <w:style w:type="paragraph" w:styleId="24">
    <w:name w:val="Subtitle"/>
    <w:basedOn w:val="1"/>
    <w:next w:val="1"/>
    <w:qFormat/>
    <w:uiPriority w:val="11"/>
    <w:pPr>
      <w:spacing w:before="200" w:after="200"/>
    </w:pPr>
    <w:rPr>
      <w:sz w:val="24"/>
      <w:szCs w:val="24"/>
    </w:rPr>
  </w:style>
  <w:style w:type="paragraph" w:styleId="25">
    <w:name w:val="footnote text"/>
    <w:basedOn w:val="1"/>
    <w:semiHidden/>
    <w:unhideWhenUsed/>
    <w:qFormat/>
    <w:uiPriority w:val="99"/>
    <w:pPr>
      <w:spacing w:after="40" w:line="240" w:lineRule="auto"/>
    </w:pPr>
    <w:rPr>
      <w:sz w:val="18"/>
    </w:rPr>
  </w:style>
  <w:style w:type="paragraph" w:styleId="26">
    <w:name w:val="toc 6"/>
    <w:basedOn w:val="1"/>
    <w:next w:val="1"/>
    <w:unhideWhenUsed/>
    <w:qFormat/>
    <w:uiPriority w:val="39"/>
    <w:pPr>
      <w:spacing w:after="57"/>
      <w:ind w:left="1417" w:right="0" w:firstLine="0"/>
    </w:pPr>
  </w:style>
  <w:style w:type="paragraph" w:styleId="27">
    <w:name w:val="table of figures"/>
    <w:basedOn w:val="1"/>
    <w:next w:val="1"/>
    <w:unhideWhenUsed/>
    <w:qFormat/>
    <w:uiPriority w:val="99"/>
    <w:pPr>
      <w:spacing w:after="0" w:afterAutospacing="0"/>
    </w:pPr>
  </w:style>
  <w:style w:type="paragraph" w:styleId="28">
    <w:name w:val="toc 2"/>
    <w:basedOn w:val="1"/>
    <w:next w:val="1"/>
    <w:unhideWhenUsed/>
    <w:qFormat/>
    <w:uiPriority w:val="39"/>
    <w:pPr>
      <w:spacing w:after="57"/>
      <w:ind w:left="283" w:right="0" w:firstLine="0"/>
    </w:pPr>
  </w:style>
  <w:style w:type="paragraph" w:styleId="29">
    <w:name w:val="toc 9"/>
    <w:basedOn w:val="1"/>
    <w:next w:val="1"/>
    <w:unhideWhenUsed/>
    <w:qFormat/>
    <w:uiPriority w:val="39"/>
    <w:pPr>
      <w:spacing w:after="57"/>
      <w:ind w:left="2268" w:right="0" w:firstLine="0"/>
    </w:pPr>
  </w:style>
  <w:style w:type="paragraph" w:styleId="3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2">
    <w:name w:val="Title"/>
    <w:basedOn w:val="1"/>
    <w:next w:val="1"/>
    <w:qFormat/>
    <w:uiPriority w:val="10"/>
    <w:pPr>
      <w:spacing w:before="300" w:after="200"/>
      <w:contextualSpacing/>
    </w:pPr>
    <w:rPr>
      <w:sz w:val="48"/>
      <w:szCs w:val="48"/>
    </w:rPr>
  </w:style>
  <w:style w:type="paragraph" w:styleId="33">
    <w:name w:val="Body Text First Indent 2"/>
    <w:basedOn w:val="14"/>
    <w:qFormat/>
    <w:uiPriority w:val="0"/>
    <w:pPr>
      <w:spacing w:after="120"/>
      <w:ind w:left="200" w:leftChars="200" w:firstLine="200" w:firstLineChars="200"/>
    </w:pPr>
    <w:rPr>
      <w:rFonts w:ascii="Times New Roman"/>
      <w:sz w:val="24"/>
    </w:rPr>
  </w:style>
  <w:style w:type="table" w:styleId="35">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7">
    <w:name w:val="endnote reference"/>
    <w:semiHidden/>
    <w:unhideWhenUsed/>
    <w:qFormat/>
    <w:uiPriority w:val="99"/>
    <w:rPr>
      <w:vertAlign w:val="superscript"/>
    </w:rPr>
  </w:style>
  <w:style w:type="character" w:styleId="38">
    <w:name w:val="Hyperlink"/>
    <w:unhideWhenUsed/>
    <w:qFormat/>
    <w:uiPriority w:val="99"/>
    <w:rPr>
      <w:color w:val="0000FF" w:themeColor="hyperlink"/>
      <w:u w:val="single"/>
      <w14:textFill>
        <w14:solidFill>
          <w14:schemeClr w14:val="hlink"/>
        </w14:solidFill>
      </w14:textFill>
    </w:rPr>
  </w:style>
  <w:style w:type="character" w:styleId="39">
    <w:name w:val="footnote reference"/>
    <w:unhideWhenUsed/>
    <w:qFormat/>
    <w:uiPriority w:val="99"/>
    <w:rPr>
      <w:vertAlign w:val="superscript"/>
    </w:rPr>
  </w:style>
  <w:style w:type="paragraph" w:customStyle="1" w:styleId="40">
    <w:name w:val="Default"/>
    <w:qFormat/>
    <w:uiPriority w:val="0"/>
    <w:pPr>
      <w:widowControl w:val="0"/>
    </w:pPr>
    <w:rPr>
      <w:rFonts w:hint="default" w:ascii="仿宋" w:hAnsi="等线" w:eastAsia="仿宋" w:cs="仿宋"/>
      <w:color w:val="000000"/>
      <w:sz w:val="24"/>
      <w:szCs w:val="24"/>
      <w:lang w:val="en-US" w:eastAsia="zh-CN" w:bidi="ar-SA"/>
    </w:rPr>
  </w:style>
  <w:style w:type="paragraph" w:styleId="41">
    <w:name w:val="List Paragraph"/>
    <w:basedOn w:val="1"/>
    <w:qFormat/>
    <w:uiPriority w:val="34"/>
    <w:pPr>
      <w:ind w:left="720"/>
      <w:contextualSpacing/>
    </w:pPr>
  </w:style>
  <w:style w:type="paragraph" w:styleId="42">
    <w:name w:val="No Spacing"/>
    <w:qFormat/>
    <w:uiPriority w:val="1"/>
    <w:pPr>
      <w:spacing w:before="0" w:after="0" w:line="240" w:lineRule="auto"/>
    </w:pPr>
    <w:rPr>
      <w:rFonts w:hint="default" w:ascii="Times New Roman" w:hAnsi="Times New Roman" w:eastAsia="宋体" w:cs="Times New Roman"/>
    </w:rPr>
  </w:style>
  <w:style w:type="paragraph" w:styleId="43">
    <w:name w:val="Quote"/>
    <w:basedOn w:val="1"/>
    <w:next w:val="1"/>
    <w:qFormat/>
    <w:uiPriority w:val="29"/>
    <w:pPr>
      <w:ind w:left="720" w:right="720"/>
    </w:pPr>
    <w:rPr>
      <w:i/>
    </w:rPr>
  </w:style>
  <w:style w:type="paragraph" w:styleId="44">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45">
    <w:name w:val="标题 111"/>
    <w:basedOn w:val="1"/>
    <w:next w:val="1"/>
    <w:link w:val="57"/>
    <w:qFormat/>
    <w:uiPriority w:val="9"/>
    <w:pPr>
      <w:keepNext/>
      <w:keepLines/>
      <w:spacing w:before="480" w:after="200"/>
      <w:outlineLvl w:val="0"/>
    </w:pPr>
    <w:rPr>
      <w:rFonts w:ascii="Arial" w:hAnsi="Arial" w:eastAsia="Arial" w:cs="Arial"/>
      <w:sz w:val="40"/>
      <w:szCs w:val="40"/>
    </w:rPr>
  </w:style>
  <w:style w:type="paragraph" w:customStyle="1" w:styleId="46">
    <w:name w:val="标题 211"/>
    <w:basedOn w:val="1"/>
    <w:next w:val="1"/>
    <w:link w:val="58"/>
    <w:qFormat/>
    <w:uiPriority w:val="9"/>
    <w:pPr>
      <w:keepNext/>
      <w:keepLines/>
      <w:spacing w:before="360" w:after="200"/>
      <w:outlineLvl w:val="1"/>
    </w:pPr>
    <w:rPr>
      <w:rFonts w:ascii="Arial" w:hAnsi="Arial" w:eastAsia="Arial" w:cs="Arial"/>
      <w:sz w:val="34"/>
    </w:rPr>
  </w:style>
  <w:style w:type="paragraph" w:customStyle="1" w:styleId="47">
    <w:name w:val="标题 312"/>
    <w:basedOn w:val="1"/>
    <w:next w:val="48"/>
    <w:link w:val="59"/>
    <w:qFormat/>
    <w:uiPriority w:val="9"/>
    <w:pPr>
      <w:keepNext/>
      <w:keepLines/>
      <w:spacing w:before="320" w:after="200"/>
      <w:outlineLvl w:val="2"/>
    </w:pPr>
    <w:rPr>
      <w:rFonts w:ascii="Arial" w:hAnsi="Arial" w:eastAsia="Arial" w:cs="Arial"/>
      <w:sz w:val="30"/>
      <w:szCs w:val="30"/>
    </w:rPr>
  </w:style>
  <w:style w:type="paragraph" w:customStyle="1" w:styleId="48">
    <w:name w:val="正文缩进11"/>
    <w:basedOn w:val="1"/>
    <w:qFormat/>
    <w:uiPriority w:val="0"/>
    <w:pPr>
      <w:spacing w:line="360" w:lineRule="atLeast"/>
      <w:ind w:firstLine="482"/>
    </w:pPr>
    <w:rPr>
      <w:sz w:val="24"/>
      <w:szCs w:val="20"/>
    </w:rPr>
  </w:style>
  <w:style w:type="paragraph" w:customStyle="1" w:styleId="49">
    <w:name w:val="标题 411"/>
    <w:basedOn w:val="1"/>
    <w:next w:val="1"/>
    <w:link w:val="60"/>
    <w:qFormat/>
    <w:uiPriority w:val="9"/>
    <w:pPr>
      <w:keepNext/>
      <w:keepLines/>
      <w:spacing w:before="320" w:after="200"/>
      <w:outlineLvl w:val="3"/>
    </w:pPr>
    <w:rPr>
      <w:rFonts w:ascii="Arial" w:hAnsi="Arial" w:eastAsia="Arial" w:cs="Arial"/>
      <w:b/>
      <w:bCs/>
      <w:sz w:val="26"/>
      <w:szCs w:val="26"/>
    </w:rPr>
  </w:style>
  <w:style w:type="paragraph" w:customStyle="1" w:styleId="50">
    <w:name w:val="标题 51"/>
    <w:basedOn w:val="1"/>
    <w:next w:val="1"/>
    <w:link w:val="61"/>
    <w:qFormat/>
    <w:uiPriority w:val="9"/>
    <w:pPr>
      <w:keepNext/>
      <w:keepLines/>
      <w:spacing w:before="320" w:after="200"/>
      <w:outlineLvl w:val="4"/>
    </w:pPr>
    <w:rPr>
      <w:rFonts w:ascii="Arial" w:hAnsi="Arial" w:eastAsia="Arial" w:cs="Arial"/>
      <w:b/>
      <w:bCs/>
      <w:sz w:val="24"/>
      <w:szCs w:val="24"/>
    </w:rPr>
  </w:style>
  <w:style w:type="paragraph" w:customStyle="1" w:styleId="51">
    <w:name w:val="标题 61"/>
    <w:basedOn w:val="1"/>
    <w:next w:val="1"/>
    <w:link w:val="62"/>
    <w:qFormat/>
    <w:uiPriority w:val="9"/>
    <w:pPr>
      <w:keepNext/>
      <w:keepLines/>
      <w:spacing w:before="320" w:after="200"/>
      <w:outlineLvl w:val="5"/>
    </w:pPr>
    <w:rPr>
      <w:rFonts w:ascii="Arial" w:hAnsi="Arial" w:eastAsia="Arial" w:cs="Arial"/>
      <w:b/>
      <w:bCs/>
      <w:sz w:val="22"/>
    </w:rPr>
  </w:style>
  <w:style w:type="paragraph" w:customStyle="1" w:styleId="52">
    <w:name w:val="标题 71"/>
    <w:basedOn w:val="1"/>
    <w:next w:val="1"/>
    <w:link w:val="63"/>
    <w:qFormat/>
    <w:uiPriority w:val="9"/>
    <w:pPr>
      <w:keepNext/>
      <w:keepLines/>
      <w:spacing w:before="320" w:after="200"/>
      <w:outlineLvl w:val="6"/>
    </w:pPr>
    <w:rPr>
      <w:rFonts w:ascii="Arial" w:hAnsi="Arial" w:eastAsia="Arial" w:cs="Arial"/>
      <w:b/>
      <w:bCs/>
      <w:i/>
      <w:iCs/>
      <w:sz w:val="22"/>
    </w:rPr>
  </w:style>
  <w:style w:type="paragraph" w:customStyle="1" w:styleId="53">
    <w:name w:val="标题 81"/>
    <w:basedOn w:val="1"/>
    <w:next w:val="1"/>
    <w:link w:val="64"/>
    <w:qFormat/>
    <w:uiPriority w:val="9"/>
    <w:pPr>
      <w:keepNext/>
      <w:keepLines/>
      <w:spacing w:before="320" w:after="200"/>
      <w:outlineLvl w:val="7"/>
    </w:pPr>
    <w:rPr>
      <w:rFonts w:ascii="Arial" w:hAnsi="Arial" w:eastAsia="Arial" w:cs="Arial"/>
      <w:i/>
      <w:iCs/>
      <w:sz w:val="22"/>
    </w:rPr>
  </w:style>
  <w:style w:type="paragraph" w:customStyle="1" w:styleId="54">
    <w:name w:val="标题 91"/>
    <w:basedOn w:val="1"/>
    <w:next w:val="1"/>
    <w:link w:val="65"/>
    <w:qFormat/>
    <w:uiPriority w:val="9"/>
    <w:pPr>
      <w:keepNext/>
      <w:keepLines/>
      <w:spacing w:before="320" w:after="200"/>
      <w:outlineLvl w:val="8"/>
    </w:pPr>
    <w:rPr>
      <w:rFonts w:ascii="Arial" w:hAnsi="Arial" w:eastAsia="Arial" w:cs="Arial"/>
      <w:i/>
      <w:iCs/>
      <w:szCs w:val="21"/>
    </w:rPr>
  </w:style>
  <w:style w:type="character" w:customStyle="1" w:styleId="55">
    <w:name w:val="默认段落字体11"/>
    <w:link w:val="1"/>
    <w:unhideWhenUsed/>
    <w:qFormat/>
    <w:uiPriority w:val="1"/>
  </w:style>
  <w:style w:type="table" w:customStyle="1" w:styleId="56">
    <w:name w:val="普通表格11"/>
    <w:unhideWhenUsed/>
    <w:qFormat/>
    <w:uiPriority w:val="99"/>
  </w:style>
  <w:style w:type="character" w:customStyle="1" w:styleId="57">
    <w:name w:val="标题 1 字符"/>
    <w:link w:val="45"/>
    <w:qFormat/>
    <w:uiPriority w:val="9"/>
    <w:rPr>
      <w:rFonts w:ascii="Arial" w:hAnsi="Arial" w:eastAsia="Arial" w:cs="Arial"/>
      <w:sz w:val="40"/>
      <w:szCs w:val="40"/>
    </w:rPr>
  </w:style>
  <w:style w:type="character" w:customStyle="1" w:styleId="58">
    <w:name w:val="标题 2 字符"/>
    <w:link w:val="46"/>
    <w:qFormat/>
    <w:uiPriority w:val="9"/>
    <w:rPr>
      <w:rFonts w:ascii="Arial" w:hAnsi="Arial" w:eastAsia="Arial" w:cs="Arial"/>
      <w:sz w:val="34"/>
    </w:rPr>
  </w:style>
  <w:style w:type="character" w:customStyle="1" w:styleId="59">
    <w:name w:val="标题 3 字符"/>
    <w:link w:val="47"/>
    <w:qFormat/>
    <w:uiPriority w:val="9"/>
    <w:rPr>
      <w:rFonts w:ascii="Arial" w:hAnsi="Arial" w:eastAsia="Arial" w:cs="Arial"/>
      <w:sz w:val="30"/>
      <w:szCs w:val="30"/>
    </w:rPr>
  </w:style>
  <w:style w:type="character" w:customStyle="1" w:styleId="60">
    <w:name w:val="标题 4 字符"/>
    <w:link w:val="49"/>
    <w:qFormat/>
    <w:uiPriority w:val="9"/>
    <w:rPr>
      <w:rFonts w:ascii="Arial" w:hAnsi="Arial" w:eastAsia="Arial" w:cs="Arial"/>
      <w:b/>
      <w:bCs/>
      <w:sz w:val="26"/>
      <w:szCs w:val="26"/>
    </w:rPr>
  </w:style>
  <w:style w:type="character" w:customStyle="1" w:styleId="61">
    <w:name w:val="标题 5 字符"/>
    <w:link w:val="50"/>
    <w:qFormat/>
    <w:uiPriority w:val="9"/>
    <w:rPr>
      <w:rFonts w:ascii="Arial" w:hAnsi="Arial" w:eastAsia="Arial" w:cs="Arial"/>
      <w:b/>
      <w:bCs/>
      <w:sz w:val="24"/>
      <w:szCs w:val="24"/>
    </w:rPr>
  </w:style>
  <w:style w:type="character" w:customStyle="1" w:styleId="62">
    <w:name w:val="标题 6 字符"/>
    <w:link w:val="51"/>
    <w:qFormat/>
    <w:uiPriority w:val="9"/>
    <w:rPr>
      <w:rFonts w:ascii="Arial" w:hAnsi="Arial" w:eastAsia="Arial" w:cs="Arial"/>
      <w:b/>
      <w:bCs/>
      <w:sz w:val="22"/>
      <w:szCs w:val="22"/>
    </w:rPr>
  </w:style>
  <w:style w:type="character" w:customStyle="1" w:styleId="63">
    <w:name w:val="标题 7 字符"/>
    <w:link w:val="52"/>
    <w:qFormat/>
    <w:uiPriority w:val="9"/>
    <w:rPr>
      <w:rFonts w:ascii="Arial" w:hAnsi="Arial" w:eastAsia="Arial" w:cs="Arial"/>
      <w:b/>
      <w:bCs/>
      <w:i/>
      <w:iCs/>
      <w:sz w:val="22"/>
      <w:szCs w:val="22"/>
    </w:rPr>
  </w:style>
  <w:style w:type="character" w:customStyle="1" w:styleId="64">
    <w:name w:val="标题 8 字符"/>
    <w:link w:val="53"/>
    <w:qFormat/>
    <w:uiPriority w:val="9"/>
    <w:rPr>
      <w:rFonts w:ascii="Arial" w:hAnsi="Arial" w:eastAsia="Arial" w:cs="Arial"/>
      <w:i/>
      <w:iCs/>
      <w:sz w:val="22"/>
      <w:szCs w:val="22"/>
    </w:rPr>
  </w:style>
  <w:style w:type="character" w:customStyle="1" w:styleId="65">
    <w:name w:val="标题 9 字符"/>
    <w:link w:val="54"/>
    <w:qFormat/>
    <w:uiPriority w:val="9"/>
    <w:rPr>
      <w:rFonts w:ascii="Arial" w:hAnsi="Arial" w:eastAsia="Arial" w:cs="Arial"/>
      <w:i/>
      <w:iCs/>
      <w:sz w:val="21"/>
      <w:szCs w:val="21"/>
    </w:rPr>
  </w:style>
  <w:style w:type="paragraph" w:customStyle="1" w:styleId="66">
    <w:name w:val="目录 71"/>
    <w:basedOn w:val="1"/>
    <w:next w:val="1"/>
    <w:unhideWhenUsed/>
    <w:qFormat/>
    <w:uiPriority w:val="39"/>
    <w:pPr>
      <w:spacing w:after="57"/>
      <w:ind w:left="1701"/>
    </w:pPr>
  </w:style>
  <w:style w:type="paragraph" w:customStyle="1" w:styleId="67">
    <w:name w:val="题注1"/>
    <w:basedOn w:val="1"/>
    <w:next w:val="1"/>
    <w:qFormat/>
    <w:uiPriority w:val="35"/>
    <w:pPr>
      <w:spacing w:line="276" w:lineRule="auto"/>
    </w:pPr>
    <w:rPr>
      <w:b/>
      <w:bCs/>
      <w:color w:val="4F81BD"/>
      <w:sz w:val="18"/>
      <w:szCs w:val="18"/>
    </w:rPr>
  </w:style>
  <w:style w:type="paragraph" w:customStyle="1" w:styleId="68">
    <w:name w:val="批注文字11"/>
    <w:basedOn w:val="1"/>
    <w:unhideWhenUsed/>
    <w:qFormat/>
    <w:uiPriority w:val="99"/>
    <w:pPr>
      <w:jc w:val="left"/>
    </w:pPr>
  </w:style>
  <w:style w:type="paragraph" w:customStyle="1" w:styleId="69">
    <w:name w:val="正文文本12"/>
    <w:basedOn w:val="1"/>
    <w:qFormat/>
    <w:uiPriority w:val="0"/>
    <w:rPr>
      <w:rFonts w:ascii="楷体_GB2312" w:hAnsi="Arial" w:eastAsia="楷体_GB2312"/>
      <w:sz w:val="28"/>
      <w:szCs w:val="28"/>
    </w:rPr>
  </w:style>
  <w:style w:type="paragraph" w:customStyle="1" w:styleId="70">
    <w:name w:val="正文文本缩进11"/>
    <w:basedOn w:val="1"/>
    <w:next w:val="71"/>
    <w:unhideWhenUsed/>
    <w:qFormat/>
    <w:uiPriority w:val="99"/>
    <w:pPr>
      <w:spacing w:after="120"/>
      <w:ind w:left="420"/>
    </w:pPr>
  </w:style>
  <w:style w:type="paragraph" w:customStyle="1" w:styleId="71">
    <w:name w:val="寄信人地址11"/>
    <w:basedOn w:val="1"/>
    <w:unhideWhenUsed/>
    <w:qFormat/>
    <w:uiPriority w:val="99"/>
    <w:rPr>
      <w:rFonts w:ascii="Arial" w:hAnsi="Arial"/>
    </w:rPr>
  </w:style>
  <w:style w:type="paragraph" w:customStyle="1" w:styleId="72">
    <w:name w:val="索引 41"/>
    <w:basedOn w:val="1"/>
    <w:next w:val="1"/>
    <w:qFormat/>
    <w:uiPriority w:val="0"/>
    <w:pPr>
      <w:ind w:left="600"/>
    </w:pPr>
    <w:rPr>
      <w:rFonts w:ascii="Calibri" w:hAnsi="Calibri" w:eastAsia="Times New Roman"/>
      <w:sz w:val="24"/>
    </w:rPr>
  </w:style>
  <w:style w:type="paragraph" w:customStyle="1" w:styleId="73">
    <w:name w:val="目录 51"/>
    <w:basedOn w:val="1"/>
    <w:next w:val="1"/>
    <w:unhideWhenUsed/>
    <w:qFormat/>
    <w:uiPriority w:val="39"/>
    <w:pPr>
      <w:spacing w:after="57"/>
      <w:ind w:left="1134"/>
    </w:pPr>
  </w:style>
  <w:style w:type="paragraph" w:customStyle="1" w:styleId="74">
    <w:name w:val="目录 31"/>
    <w:basedOn w:val="1"/>
    <w:next w:val="1"/>
    <w:unhideWhenUsed/>
    <w:qFormat/>
    <w:uiPriority w:val="39"/>
    <w:pPr>
      <w:spacing w:after="57"/>
      <w:ind w:left="567"/>
    </w:pPr>
  </w:style>
  <w:style w:type="paragraph" w:customStyle="1" w:styleId="75">
    <w:name w:val="纯文本11"/>
    <w:basedOn w:val="1"/>
    <w:qFormat/>
    <w:uiPriority w:val="0"/>
    <w:rPr>
      <w:rFonts w:ascii="宋体" w:hAnsi="Courier New"/>
      <w:sz w:val="20"/>
      <w:szCs w:val="21"/>
    </w:rPr>
  </w:style>
  <w:style w:type="paragraph" w:customStyle="1" w:styleId="76">
    <w:name w:val="目录 81"/>
    <w:basedOn w:val="1"/>
    <w:next w:val="1"/>
    <w:unhideWhenUsed/>
    <w:qFormat/>
    <w:uiPriority w:val="39"/>
    <w:pPr>
      <w:spacing w:after="57"/>
      <w:ind w:left="1984"/>
    </w:pPr>
  </w:style>
  <w:style w:type="paragraph" w:customStyle="1" w:styleId="77">
    <w:name w:val="正文文本缩进 21"/>
    <w:basedOn w:val="1"/>
    <w:qFormat/>
    <w:uiPriority w:val="99"/>
    <w:pPr>
      <w:spacing w:line="480" w:lineRule="exact"/>
      <w:ind w:firstLine="562"/>
    </w:pPr>
    <w:rPr>
      <w:rFonts w:ascii="楷体_GB2312" w:eastAsia="楷体_GB2312"/>
      <w:b/>
      <w:bCs/>
      <w:sz w:val="28"/>
      <w:szCs w:val="24"/>
    </w:rPr>
  </w:style>
  <w:style w:type="paragraph" w:customStyle="1" w:styleId="78">
    <w:name w:val="尾注文本1"/>
    <w:basedOn w:val="1"/>
    <w:link w:val="79"/>
    <w:unhideWhenUsed/>
    <w:qFormat/>
    <w:uiPriority w:val="99"/>
    <w:rPr>
      <w:sz w:val="20"/>
    </w:rPr>
  </w:style>
  <w:style w:type="character" w:customStyle="1" w:styleId="79">
    <w:name w:val="尾注文本 字符"/>
    <w:link w:val="78"/>
    <w:qFormat/>
    <w:uiPriority w:val="99"/>
    <w:rPr>
      <w:sz w:val="20"/>
    </w:rPr>
  </w:style>
  <w:style w:type="paragraph" w:customStyle="1" w:styleId="80">
    <w:name w:val="批注框文本11"/>
    <w:basedOn w:val="1"/>
    <w:link w:val="81"/>
    <w:unhideWhenUsed/>
    <w:qFormat/>
    <w:uiPriority w:val="99"/>
    <w:rPr>
      <w:sz w:val="18"/>
      <w:szCs w:val="18"/>
    </w:rPr>
  </w:style>
  <w:style w:type="character" w:customStyle="1" w:styleId="81">
    <w:name w:val="批注框文本 字符"/>
    <w:link w:val="80"/>
    <w:semiHidden/>
    <w:qFormat/>
    <w:uiPriority w:val="99"/>
    <w:rPr>
      <w:sz w:val="18"/>
      <w:szCs w:val="18"/>
    </w:rPr>
  </w:style>
  <w:style w:type="paragraph" w:customStyle="1" w:styleId="82">
    <w:name w:val="页脚11"/>
    <w:basedOn w:val="1"/>
    <w:link w:val="83"/>
    <w:unhideWhenUsed/>
    <w:qFormat/>
    <w:uiPriority w:val="99"/>
    <w:pPr>
      <w:tabs>
        <w:tab w:val="center" w:pos="7143"/>
        <w:tab w:val="right" w:pos="14287"/>
      </w:tabs>
    </w:pPr>
  </w:style>
  <w:style w:type="character" w:customStyle="1" w:styleId="83">
    <w:name w:val="页脚 字符"/>
    <w:link w:val="82"/>
    <w:qFormat/>
    <w:uiPriority w:val="99"/>
  </w:style>
  <w:style w:type="paragraph" w:customStyle="1" w:styleId="84">
    <w:name w:val="页眉11"/>
    <w:basedOn w:val="1"/>
    <w:link w:val="85"/>
    <w:unhideWhenUsed/>
    <w:qFormat/>
    <w:uiPriority w:val="99"/>
    <w:pPr>
      <w:tabs>
        <w:tab w:val="center" w:pos="7143"/>
        <w:tab w:val="right" w:pos="14287"/>
      </w:tabs>
    </w:pPr>
  </w:style>
  <w:style w:type="character" w:customStyle="1" w:styleId="85">
    <w:name w:val="页眉 字符"/>
    <w:link w:val="84"/>
    <w:qFormat/>
    <w:uiPriority w:val="99"/>
  </w:style>
  <w:style w:type="paragraph" w:customStyle="1" w:styleId="86">
    <w:name w:val="目录 111"/>
    <w:basedOn w:val="1"/>
    <w:next w:val="1"/>
    <w:unhideWhenUsed/>
    <w:qFormat/>
    <w:uiPriority w:val="39"/>
    <w:pPr>
      <w:spacing w:after="57"/>
    </w:pPr>
  </w:style>
  <w:style w:type="paragraph" w:customStyle="1" w:styleId="87">
    <w:name w:val="目录 41"/>
    <w:basedOn w:val="1"/>
    <w:next w:val="1"/>
    <w:unhideWhenUsed/>
    <w:qFormat/>
    <w:uiPriority w:val="39"/>
    <w:pPr>
      <w:spacing w:after="57"/>
      <w:ind w:left="850"/>
    </w:pPr>
  </w:style>
  <w:style w:type="paragraph" w:customStyle="1" w:styleId="88">
    <w:name w:val="副标题1"/>
    <w:basedOn w:val="1"/>
    <w:next w:val="1"/>
    <w:link w:val="89"/>
    <w:qFormat/>
    <w:uiPriority w:val="11"/>
    <w:pPr>
      <w:spacing w:before="200" w:after="200"/>
    </w:pPr>
    <w:rPr>
      <w:sz w:val="24"/>
      <w:szCs w:val="24"/>
    </w:rPr>
  </w:style>
  <w:style w:type="character" w:customStyle="1" w:styleId="89">
    <w:name w:val="副标题 字符"/>
    <w:link w:val="88"/>
    <w:qFormat/>
    <w:uiPriority w:val="11"/>
    <w:rPr>
      <w:sz w:val="24"/>
      <w:szCs w:val="24"/>
    </w:rPr>
  </w:style>
  <w:style w:type="paragraph" w:customStyle="1" w:styleId="90">
    <w:name w:val="脚注文本1"/>
    <w:basedOn w:val="1"/>
    <w:link w:val="91"/>
    <w:unhideWhenUsed/>
    <w:qFormat/>
    <w:uiPriority w:val="0"/>
    <w:pPr>
      <w:spacing w:after="40"/>
    </w:pPr>
    <w:rPr>
      <w:sz w:val="18"/>
    </w:rPr>
  </w:style>
  <w:style w:type="character" w:customStyle="1" w:styleId="91">
    <w:name w:val="脚注文本 字符"/>
    <w:link w:val="90"/>
    <w:qFormat/>
    <w:uiPriority w:val="0"/>
    <w:rPr>
      <w:sz w:val="18"/>
    </w:rPr>
  </w:style>
  <w:style w:type="paragraph" w:customStyle="1" w:styleId="92">
    <w:name w:val="目录 61"/>
    <w:basedOn w:val="1"/>
    <w:next w:val="1"/>
    <w:unhideWhenUsed/>
    <w:qFormat/>
    <w:uiPriority w:val="39"/>
    <w:pPr>
      <w:spacing w:after="57"/>
      <w:ind w:left="1417"/>
    </w:pPr>
  </w:style>
  <w:style w:type="paragraph" w:customStyle="1" w:styleId="93">
    <w:name w:val="图表目录1"/>
    <w:basedOn w:val="1"/>
    <w:next w:val="1"/>
    <w:unhideWhenUsed/>
    <w:qFormat/>
    <w:uiPriority w:val="99"/>
  </w:style>
  <w:style w:type="paragraph" w:customStyle="1" w:styleId="94">
    <w:name w:val="目录 211"/>
    <w:basedOn w:val="1"/>
    <w:next w:val="1"/>
    <w:unhideWhenUsed/>
    <w:qFormat/>
    <w:uiPriority w:val="39"/>
    <w:pPr>
      <w:spacing w:after="57"/>
      <w:ind w:left="283"/>
    </w:pPr>
  </w:style>
  <w:style w:type="paragraph" w:customStyle="1" w:styleId="95">
    <w:name w:val="目录 91"/>
    <w:basedOn w:val="1"/>
    <w:next w:val="1"/>
    <w:unhideWhenUsed/>
    <w:qFormat/>
    <w:uiPriority w:val="39"/>
    <w:pPr>
      <w:spacing w:after="57"/>
      <w:ind w:left="2268"/>
    </w:pPr>
  </w:style>
  <w:style w:type="paragraph" w:customStyle="1" w:styleId="96">
    <w:name w:val="正文文本 211"/>
    <w:basedOn w:val="1"/>
    <w:qFormat/>
    <w:uiPriority w:val="0"/>
    <w:pPr>
      <w:spacing w:after="120" w:line="480" w:lineRule="auto"/>
    </w:pPr>
  </w:style>
  <w:style w:type="paragraph" w:customStyle="1" w:styleId="97">
    <w:name w:val="信息标题1"/>
    <w:basedOn w:val="1"/>
    <w:qFormat/>
    <w:uiPriority w:val="0"/>
    <w:pPr>
      <w:pBdr>
        <w:top w:val="single" w:color="000000" w:sz="6" w:space="1"/>
        <w:left w:val="single" w:color="000000" w:sz="6" w:space="1"/>
        <w:bottom w:val="single" w:color="000000" w:sz="6" w:space="1"/>
        <w:right w:val="single" w:color="000000" w:sz="6" w:space="1"/>
      </w:pBdr>
      <w:shd w:val="pct20" w:color="auto" w:fill="auto"/>
      <w:ind w:left="500" w:hanging="1080"/>
    </w:pPr>
    <w:rPr>
      <w:rFonts w:ascii="Arial" w:hAnsi="Arial"/>
      <w:sz w:val="24"/>
    </w:rPr>
  </w:style>
  <w:style w:type="paragraph" w:customStyle="1" w:styleId="98">
    <w:name w:val="普通(网站)11"/>
    <w:basedOn w:val="1"/>
    <w:qFormat/>
    <w:uiPriority w:val="0"/>
    <w:pPr>
      <w:widowControl/>
      <w:spacing w:before="100" w:beforeAutospacing="1" w:after="100" w:afterAutospacing="1"/>
      <w:jc w:val="left"/>
    </w:pPr>
    <w:rPr>
      <w:rFonts w:ascii="Verdana" w:hAnsi="Verdana" w:eastAsia="宋体" w:cs="Verdana"/>
      <w:sz w:val="24"/>
      <w:szCs w:val="24"/>
    </w:rPr>
  </w:style>
  <w:style w:type="paragraph" w:customStyle="1" w:styleId="99">
    <w:name w:val="标题1"/>
    <w:basedOn w:val="1"/>
    <w:next w:val="1"/>
    <w:link w:val="100"/>
    <w:qFormat/>
    <w:uiPriority w:val="10"/>
    <w:pPr>
      <w:spacing w:before="300" w:after="200"/>
      <w:contextualSpacing/>
    </w:pPr>
    <w:rPr>
      <w:sz w:val="48"/>
      <w:szCs w:val="48"/>
    </w:rPr>
  </w:style>
  <w:style w:type="character" w:customStyle="1" w:styleId="100">
    <w:name w:val="标题 字符"/>
    <w:link w:val="99"/>
    <w:qFormat/>
    <w:uiPriority w:val="10"/>
    <w:rPr>
      <w:sz w:val="48"/>
      <w:szCs w:val="48"/>
    </w:rPr>
  </w:style>
  <w:style w:type="paragraph" w:customStyle="1" w:styleId="101">
    <w:name w:val="正文首行缩进11"/>
    <w:basedOn w:val="69"/>
    <w:qFormat/>
    <w:uiPriority w:val="0"/>
    <w:pPr>
      <w:ind w:firstLine="420"/>
    </w:pPr>
  </w:style>
  <w:style w:type="paragraph" w:customStyle="1" w:styleId="102">
    <w:name w:val="正文首行缩进 211"/>
    <w:basedOn w:val="70"/>
    <w:next w:val="1"/>
    <w:unhideWhenUsed/>
    <w:qFormat/>
    <w:uiPriority w:val="99"/>
    <w:pPr>
      <w:ind w:firstLine="420"/>
    </w:pPr>
  </w:style>
  <w:style w:type="table" w:customStyle="1" w:styleId="103">
    <w:name w:val="网格型1"/>
    <w:qFormat/>
    <w:uiPriority w:val="59"/>
    <w:rPr>
      <w:lang w:val="en-US" w:eastAsia="zh-CN" w:bidi="ar-SA"/>
    </w:rPr>
  </w:style>
  <w:style w:type="character" w:customStyle="1" w:styleId="104">
    <w:name w:val="尾注引用1"/>
    <w:link w:val="1"/>
    <w:unhideWhenUsed/>
    <w:qFormat/>
    <w:uiPriority w:val="99"/>
    <w:rPr>
      <w:vertAlign w:val="superscript"/>
    </w:rPr>
  </w:style>
  <w:style w:type="character" w:customStyle="1" w:styleId="105">
    <w:name w:val="超链接1"/>
    <w:link w:val="1"/>
    <w:unhideWhenUsed/>
    <w:qFormat/>
    <w:uiPriority w:val="99"/>
    <w:rPr>
      <w:color w:val="0000FF"/>
      <w:u w:val="single"/>
    </w:rPr>
  </w:style>
  <w:style w:type="character" w:customStyle="1" w:styleId="106">
    <w:name w:val="脚注引用1"/>
    <w:link w:val="1"/>
    <w:unhideWhenUsed/>
    <w:qFormat/>
    <w:uiPriority w:val="0"/>
    <w:rPr>
      <w:vertAlign w:val="superscript"/>
    </w:rPr>
  </w:style>
  <w:style w:type="paragraph" w:customStyle="1" w:styleId="107">
    <w:name w:val="标题 311"/>
    <w:basedOn w:val="1"/>
    <w:next w:val="1"/>
    <w:qFormat/>
    <w:uiPriority w:val="0"/>
    <w:pPr>
      <w:keepNext/>
      <w:keepLines/>
      <w:spacing w:before="260" w:after="260" w:line="416" w:lineRule="auto"/>
      <w:outlineLvl w:val="2"/>
    </w:pPr>
    <w:rPr>
      <w:b/>
      <w:sz w:val="32"/>
      <w:szCs w:val="20"/>
    </w:rPr>
  </w:style>
  <w:style w:type="paragraph" w:customStyle="1" w:styleId="108">
    <w:name w:val="TOC Heading"/>
    <w:unhideWhenUsed/>
    <w:qFormat/>
    <w:uiPriority w:val="39"/>
    <w:rPr>
      <w:rFonts w:hint="default" w:ascii="Times New Roman" w:hAnsi="Times New Roman" w:eastAsia="宋体" w:cs="Times New Roman"/>
      <w:lang w:val="en-US" w:eastAsia="zh-CN" w:bidi="ar-SA"/>
    </w:rPr>
  </w:style>
  <w:style w:type="paragraph" w:customStyle="1" w:styleId="109">
    <w:name w:val="文本块1"/>
    <w:basedOn w:val="1"/>
    <w:unhideWhenUsed/>
    <w:qFormat/>
    <w:uiPriority w:val="99"/>
    <w:pPr>
      <w:spacing w:after="120"/>
      <w:ind w:left="1440" w:right="1440"/>
    </w:pPr>
  </w:style>
  <w:style w:type="paragraph" w:customStyle="1" w:styleId="110">
    <w:name w:val="ListBullet21"/>
    <w:basedOn w:val="1"/>
    <w:qFormat/>
    <w:uiPriority w:val="0"/>
    <w:pPr>
      <w:numPr>
        <w:ilvl w:val="0"/>
        <w:numId w:val="1"/>
      </w:numPr>
    </w:pPr>
  </w:style>
  <w:style w:type="paragraph" w:customStyle="1" w:styleId="111">
    <w:name w:val="正文（缩进）"/>
    <w:basedOn w:val="1"/>
    <w:next w:val="112"/>
    <w:qFormat/>
    <w:uiPriority w:val="0"/>
    <w:pPr>
      <w:ind w:firstLine="480"/>
    </w:pPr>
  </w:style>
  <w:style w:type="paragraph" w:customStyle="1" w:styleId="112">
    <w:name w:val="Char Char Char Char Char Char Char Char Char"/>
    <w:basedOn w:val="1"/>
    <w:next w:val="113"/>
    <w:qFormat/>
    <w:uiPriority w:val="99"/>
    <w:pPr>
      <w:ind w:left="360" w:firstLine="5784"/>
    </w:pPr>
  </w:style>
  <w:style w:type="paragraph" w:customStyle="1" w:styleId="113">
    <w:name w:val="正文文本 21"/>
    <w:basedOn w:val="1"/>
    <w:next w:val="114"/>
    <w:qFormat/>
    <w:uiPriority w:val="99"/>
    <w:pPr>
      <w:widowControl/>
      <w:ind w:left="720" w:firstLine="5680"/>
    </w:pPr>
  </w:style>
  <w:style w:type="paragraph" w:customStyle="1" w:styleId="114">
    <w:name w:val="默认段落字体 Para Char Char Char Char Char Char Char"/>
    <w:basedOn w:val="1"/>
    <w:next w:val="115"/>
    <w:qFormat/>
    <w:uiPriority w:val="99"/>
    <w:pPr>
      <w:ind w:firstLine="200"/>
    </w:pPr>
    <w:rPr>
      <w:rFonts w:cs="Arial"/>
    </w:rPr>
  </w:style>
  <w:style w:type="paragraph" w:customStyle="1" w:styleId="115">
    <w:name w:val="样式 首行缩进:  2 字符"/>
    <w:basedOn w:val="1"/>
    <w:next w:val="116"/>
    <w:qFormat/>
    <w:uiPriority w:val="99"/>
    <w:pPr>
      <w:spacing w:line="360" w:lineRule="auto"/>
      <w:ind w:left="480" w:firstLine="5856"/>
    </w:pPr>
  </w:style>
  <w:style w:type="paragraph" w:customStyle="1" w:styleId="116">
    <w:name w:val="样式 段后: 0.25 行"/>
    <w:basedOn w:val="1"/>
    <w:next w:val="117"/>
    <w:qFormat/>
    <w:uiPriority w:val="99"/>
    <w:pPr>
      <w:widowControl/>
      <w:spacing w:line="300" w:lineRule="auto"/>
      <w:ind w:left="420" w:firstLine="5796"/>
    </w:pPr>
  </w:style>
  <w:style w:type="paragraph" w:customStyle="1" w:styleId="117">
    <w:name w:val="正文 New New New New New New New New New New New New New New"/>
    <w:next w:val="95"/>
    <w:qFormat/>
    <w:uiPriority w:val="99"/>
    <w:pPr>
      <w:widowControl w:val="0"/>
      <w:ind w:firstLine="2048"/>
      <w:jc w:val="both"/>
    </w:pPr>
    <w:rPr>
      <w:rFonts w:hint="default" w:ascii="Calibri" w:hAnsi="Calibri" w:eastAsia="宋体" w:cs="Times New Roman"/>
      <w:lang w:val="en-US" w:eastAsia="zh-CN" w:bidi="ar-SA"/>
    </w:rPr>
  </w:style>
  <w:style w:type="character" w:customStyle="1" w:styleId="118">
    <w:name w:val="Heading 1 Char"/>
    <w:link w:val="1"/>
    <w:qFormat/>
    <w:uiPriority w:val="9"/>
    <w:rPr>
      <w:rFonts w:ascii="Arial" w:hAnsi="Arial" w:eastAsia="Arial" w:cs="Arial"/>
      <w:sz w:val="40"/>
      <w:szCs w:val="40"/>
    </w:rPr>
  </w:style>
  <w:style w:type="character" w:customStyle="1" w:styleId="119">
    <w:name w:val="Heading 2 Char"/>
    <w:link w:val="1"/>
    <w:qFormat/>
    <w:uiPriority w:val="9"/>
    <w:rPr>
      <w:rFonts w:ascii="Arial" w:hAnsi="Arial" w:eastAsia="Arial" w:cs="Arial"/>
      <w:sz w:val="34"/>
    </w:rPr>
  </w:style>
  <w:style w:type="character" w:customStyle="1" w:styleId="120">
    <w:name w:val="Heading 3 Char"/>
    <w:link w:val="1"/>
    <w:qFormat/>
    <w:uiPriority w:val="9"/>
    <w:rPr>
      <w:rFonts w:ascii="Arial" w:hAnsi="Arial" w:eastAsia="Arial" w:cs="Arial"/>
      <w:sz w:val="30"/>
      <w:szCs w:val="30"/>
    </w:rPr>
  </w:style>
  <w:style w:type="character" w:customStyle="1" w:styleId="121">
    <w:name w:val="Heading 4 Char"/>
    <w:link w:val="1"/>
    <w:qFormat/>
    <w:uiPriority w:val="9"/>
    <w:rPr>
      <w:rFonts w:ascii="Arial" w:hAnsi="Arial" w:eastAsia="Arial" w:cs="Arial"/>
      <w:b/>
      <w:bCs/>
      <w:sz w:val="26"/>
      <w:szCs w:val="26"/>
    </w:rPr>
  </w:style>
  <w:style w:type="character" w:customStyle="1" w:styleId="122">
    <w:name w:val="Heading 5 Char"/>
    <w:link w:val="1"/>
    <w:qFormat/>
    <w:uiPriority w:val="9"/>
    <w:rPr>
      <w:rFonts w:ascii="Arial" w:hAnsi="Arial" w:eastAsia="Arial" w:cs="Arial"/>
      <w:b/>
      <w:bCs/>
      <w:sz w:val="24"/>
      <w:szCs w:val="24"/>
    </w:rPr>
  </w:style>
  <w:style w:type="character" w:customStyle="1" w:styleId="123">
    <w:name w:val="Heading 6 Char"/>
    <w:link w:val="1"/>
    <w:qFormat/>
    <w:uiPriority w:val="9"/>
    <w:rPr>
      <w:rFonts w:ascii="Arial" w:hAnsi="Arial" w:eastAsia="Arial" w:cs="Arial"/>
      <w:b/>
      <w:bCs/>
      <w:sz w:val="22"/>
      <w:szCs w:val="22"/>
    </w:rPr>
  </w:style>
  <w:style w:type="character" w:customStyle="1" w:styleId="124">
    <w:name w:val="Heading 7 Char"/>
    <w:link w:val="1"/>
    <w:qFormat/>
    <w:uiPriority w:val="9"/>
    <w:rPr>
      <w:rFonts w:ascii="Arial" w:hAnsi="Arial" w:eastAsia="Arial" w:cs="Arial"/>
      <w:b/>
      <w:bCs/>
      <w:i/>
      <w:iCs/>
      <w:sz w:val="22"/>
      <w:szCs w:val="22"/>
    </w:rPr>
  </w:style>
  <w:style w:type="character" w:customStyle="1" w:styleId="125">
    <w:name w:val="Heading 8 Char"/>
    <w:link w:val="1"/>
    <w:qFormat/>
    <w:uiPriority w:val="9"/>
    <w:rPr>
      <w:rFonts w:ascii="Arial" w:hAnsi="Arial" w:eastAsia="Arial" w:cs="Arial"/>
      <w:i/>
      <w:iCs/>
      <w:sz w:val="22"/>
      <w:szCs w:val="22"/>
    </w:rPr>
  </w:style>
  <w:style w:type="character" w:customStyle="1" w:styleId="126">
    <w:name w:val="Heading 9 Char"/>
    <w:link w:val="1"/>
    <w:qFormat/>
    <w:uiPriority w:val="9"/>
    <w:rPr>
      <w:rFonts w:ascii="Arial" w:hAnsi="Arial" w:eastAsia="Arial" w:cs="Arial"/>
      <w:i/>
      <w:iCs/>
      <w:sz w:val="21"/>
      <w:szCs w:val="21"/>
    </w:rPr>
  </w:style>
  <w:style w:type="character" w:customStyle="1" w:styleId="127">
    <w:name w:val="Title Char"/>
    <w:link w:val="1"/>
    <w:qFormat/>
    <w:uiPriority w:val="10"/>
    <w:rPr>
      <w:sz w:val="48"/>
      <w:szCs w:val="48"/>
    </w:rPr>
  </w:style>
  <w:style w:type="character" w:customStyle="1" w:styleId="128">
    <w:name w:val="Subtitle Char"/>
    <w:link w:val="1"/>
    <w:qFormat/>
    <w:uiPriority w:val="11"/>
    <w:rPr>
      <w:sz w:val="24"/>
      <w:szCs w:val="24"/>
    </w:rPr>
  </w:style>
  <w:style w:type="character" w:customStyle="1" w:styleId="129">
    <w:name w:val="Quote Char"/>
    <w:link w:val="1"/>
    <w:qFormat/>
    <w:uiPriority w:val="29"/>
    <w:rPr>
      <w:i/>
    </w:rPr>
  </w:style>
  <w:style w:type="character" w:customStyle="1" w:styleId="130">
    <w:name w:val="Intense Quote Char"/>
    <w:link w:val="1"/>
    <w:qFormat/>
    <w:uiPriority w:val="30"/>
    <w:rPr>
      <w:i/>
    </w:rPr>
  </w:style>
  <w:style w:type="character" w:customStyle="1" w:styleId="131">
    <w:name w:val="Header Char"/>
    <w:link w:val="1"/>
    <w:qFormat/>
    <w:uiPriority w:val="99"/>
  </w:style>
  <w:style w:type="character" w:customStyle="1" w:styleId="132">
    <w:name w:val="Caption Char"/>
    <w:link w:val="1"/>
    <w:qFormat/>
    <w:uiPriority w:val="99"/>
  </w:style>
  <w:style w:type="table" w:customStyle="1" w:styleId="133">
    <w:name w:val="Plain Table 1"/>
    <w:basedOn w:val="56"/>
    <w:qFormat/>
    <w:uiPriority w:val="59"/>
  </w:style>
  <w:style w:type="table" w:customStyle="1" w:styleId="134">
    <w:name w:val="Plain Table 2"/>
    <w:basedOn w:val="56"/>
    <w:qFormat/>
    <w:uiPriority w:val="59"/>
  </w:style>
  <w:style w:type="table" w:customStyle="1" w:styleId="135">
    <w:name w:val="Plain Table 3"/>
    <w:basedOn w:val="56"/>
    <w:qFormat/>
    <w:uiPriority w:val="99"/>
  </w:style>
  <w:style w:type="table" w:customStyle="1" w:styleId="136">
    <w:name w:val="Plain Table 4"/>
    <w:basedOn w:val="56"/>
    <w:qFormat/>
    <w:uiPriority w:val="99"/>
  </w:style>
  <w:style w:type="table" w:customStyle="1" w:styleId="137">
    <w:name w:val="Plain Table 5"/>
    <w:basedOn w:val="56"/>
    <w:qFormat/>
    <w:uiPriority w:val="99"/>
  </w:style>
  <w:style w:type="table" w:customStyle="1" w:styleId="138">
    <w:name w:val="Grid Table 1 Light"/>
    <w:basedOn w:val="56"/>
    <w:qFormat/>
    <w:uiPriority w:val="99"/>
  </w:style>
  <w:style w:type="table" w:customStyle="1" w:styleId="139">
    <w:name w:val="Grid Table 2"/>
    <w:basedOn w:val="56"/>
    <w:qFormat/>
    <w:uiPriority w:val="99"/>
  </w:style>
  <w:style w:type="table" w:customStyle="1" w:styleId="140">
    <w:name w:val="Grid Table 3"/>
    <w:basedOn w:val="56"/>
    <w:qFormat/>
    <w:uiPriority w:val="99"/>
  </w:style>
  <w:style w:type="table" w:customStyle="1" w:styleId="141">
    <w:name w:val="Grid Table 4"/>
    <w:basedOn w:val="56"/>
    <w:qFormat/>
    <w:uiPriority w:val="59"/>
  </w:style>
  <w:style w:type="table" w:customStyle="1" w:styleId="142">
    <w:name w:val="Grid Table 5 Dark"/>
    <w:basedOn w:val="56"/>
    <w:qFormat/>
    <w:uiPriority w:val="99"/>
  </w:style>
  <w:style w:type="table" w:customStyle="1" w:styleId="143">
    <w:name w:val="Grid Table 6 Colorful"/>
    <w:basedOn w:val="56"/>
    <w:qFormat/>
    <w:uiPriority w:val="99"/>
  </w:style>
  <w:style w:type="table" w:customStyle="1" w:styleId="144">
    <w:name w:val="Grid Table 7 Colorful"/>
    <w:basedOn w:val="56"/>
    <w:qFormat/>
    <w:uiPriority w:val="99"/>
  </w:style>
  <w:style w:type="table" w:customStyle="1" w:styleId="145">
    <w:name w:val="List Table 1 Light"/>
    <w:basedOn w:val="56"/>
    <w:qFormat/>
    <w:uiPriority w:val="99"/>
  </w:style>
  <w:style w:type="table" w:customStyle="1" w:styleId="146">
    <w:name w:val="List Table 2"/>
    <w:basedOn w:val="56"/>
    <w:qFormat/>
    <w:uiPriority w:val="99"/>
  </w:style>
  <w:style w:type="table" w:customStyle="1" w:styleId="147">
    <w:name w:val="List Table 3"/>
    <w:basedOn w:val="56"/>
    <w:qFormat/>
    <w:uiPriority w:val="99"/>
  </w:style>
  <w:style w:type="table" w:customStyle="1" w:styleId="148">
    <w:name w:val="List Table 4"/>
    <w:basedOn w:val="56"/>
    <w:qFormat/>
    <w:uiPriority w:val="99"/>
  </w:style>
  <w:style w:type="table" w:customStyle="1" w:styleId="149">
    <w:name w:val="List Table 5 Dark"/>
    <w:basedOn w:val="56"/>
    <w:qFormat/>
    <w:uiPriority w:val="99"/>
  </w:style>
  <w:style w:type="table" w:customStyle="1" w:styleId="150">
    <w:name w:val="List Table 6 Colorful"/>
    <w:basedOn w:val="56"/>
    <w:qFormat/>
    <w:uiPriority w:val="99"/>
  </w:style>
  <w:style w:type="table" w:customStyle="1" w:styleId="151">
    <w:name w:val="List Table 7 Colorful"/>
    <w:basedOn w:val="56"/>
    <w:qFormat/>
    <w:uiPriority w:val="99"/>
  </w:style>
  <w:style w:type="character" w:customStyle="1" w:styleId="152">
    <w:name w:val="Footnote Text Char"/>
    <w:link w:val="1"/>
    <w:qFormat/>
    <w:uiPriority w:val="99"/>
    <w:rPr>
      <w:sz w:val="18"/>
    </w:rPr>
  </w:style>
  <w:style w:type="character" w:customStyle="1" w:styleId="153">
    <w:name w:val="Endnote Text Char"/>
    <w:link w:val="1"/>
    <w:qFormat/>
    <w:uiPriority w:val="99"/>
    <w:rPr>
      <w:sz w:val="20"/>
    </w:rPr>
  </w:style>
  <w:style w:type="paragraph" w:customStyle="1" w:styleId="154">
    <w:name w:val="TOC 标题1"/>
    <w:unhideWhenUsed/>
    <w:qFormat/>
    <w:uiPriority w:val="39"/>
    <w:rPr>
      <w:rFonts w:hint="default" w:ascii="Times New Roman" w:hAnsi="Times New Roman" w:eastAsia="宋体" w:cs="Times New Roman"/>
      <w:lang w:val="en-US" w:eastAsia="zh-CN" w:bidi="ar-SA"/>
    </w:rPr>
  </w:style>
  <w:style w:type="paragraph" w:customStyle="1" w:styleId="155">
    <w:name w:val="列表段落"/>
    <w:basedOn w:val="1"/>
    <w:next w:val="1"/>
    <w:qFormat/>
    <w:uiPriority w:val="34"/>
    <w:pPr>
      <w:ind w:left="720"/>
      <w:contextualSpacing/>
    </w:pPr>
  </w:style>
  <w:style w:type="paragraph" w:customStyle="1" w:styleId="156">
    <w:name w:val="无间隔"/>
    <w:qFormat/>
    <w:uiPriority w:val="1"/>
    <w:rPr>
      <w:rFonts w:hint="default" w:ascii="Times New Roman" w:hAnsi="Times New Roman" w:eastAsia="宋体" w:cs="Times New Roman"/>
      <w:lang w:val="en-US" w:eastAsia="zh-CN" w:bidi="ar-SA"/>
    </w:rPr>
  </w:style>
  <w:style w:type="paragraph" w:customStyle="1" w:styleId="157">
    <w:name w:val="引用"/>
    <w:basedOn w:val="1"/>
    <w:next w:val="1"/>
    <w:link w:val="158"/>
    <w:qFormat/>
    <w:uiPriority w:val="29"/>
    <w:pPr>
      <w:ind w:left="720" w:right="720"/>
    </w:pPr>
    <w:rPr>
      <w:i/>
    </w:rPr>
  </w:style>
  <w:style w:type="character" w:customStyle="1" w:styleId="158">
    <w:name w:val="引用 字符"/>
    <w:link w:val="157"/>
    <w:qFormat/>
    <w:uiPriority w:val="29"/>
    <w:rPr>
      <w:i/>
    </w:rPr>
  </w:style>
  <w:style w:type="paragraph" w:customStyle="1" w:styleId="159">
    <w:name w:val="明显引用"/>
    <w:basedOn w:val="1"/>
    <w:next w:val="1"/>
    <w:link w:val="16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60">
    <w:name w:val="明显引用 字符"/>
    <w:link w:val="159"/>
    <w:qFormat/>
    <w:uiPriority w:val="30"/>
    <w:rPr>
      <w:i/>
    </w:rPr>
  </w:style>
  <w:style w:type="character" w:customStyle="1" w:styleId="161">
    <w:name w:val="Footer Char"/>
    <w:link w:val="1"/>
    <w:qFormat/>
    <w:uiPriority w:val="99"/>
  </w:style>
  <w:style w:type="table" w:customStyle="1" w:styleId="162">
    <w:name w:val="Table Grid Light"/>
    <w:qFormat/>
    <w:uiPriority w:val="59"/>
    <w:rPr>
      <w:lang w:val="en-US" w:eastAsia="zh-CN" w:bidi="ar-SA"/>
    </w:rPr>
  </w:style>
  <w:style w:type="table" w:customStyle="1" w:styleId="163">
    <w:name w:val="无格式表格 11"/>
    <w:qFormat/>
    <w:uiPriority w:val="59"/>
    <w:rPr>
      <w:lang w:val="en-US" w:eastAsia="zh-CN" w:bidi="ar-SA"/>
    </w:rPr>
  </w:style>
  <w:style w:type="table" w:customStyle="1" w:styleId="164">
    <w:name w:val="无格式表格 21"/>
    <w:qFormat/>
    <w:uiPriority w:val="59"/>
    <w:rPr>
      <w:lang w:val="en-US" w:eastAsia="zh-CN" w:bidi="ar-SA"/>
    </w:rPr>
  </w:style>
  <w:style w:type="table" w:customStyle="1" w:styleId="165">
    <w:name w:val="无格式表格 31"/>
    <w:qFormat/>
    <w:uiPriority w:val="99"/>
    <w:rPr>
      <w:lang w:val="en-US" w:eastAsia="zh-CN" w:bidi="ar-SA"/>
    </w:rPr>
  </w:style>
  <w:style w:type="table" w:customStyle="1" w:styleId="166">
    <w:name w:val="无格式表格 41"/>
    <w:qFormat/>
    <w:uiPriority w:val="99"/>
    <w:rPr>
      <w:lang w:val="en-US" w:eastAsia="zh-CN" w:bidi="ar-SA"/>
    </w:rPr>
  </w:style>
  <w:style w:type="table" w:customStyle="1" w:styleId="167">
    <w:name w:val="无格式表格 51"/>
    <w:qFormat/>
    <w:uiPriority w:val="99"/>
    <w:rPr>
      <w:lang w:val="en-US" w:eastAsia="zh-CN" w:bidi="ar-SA"/>
    </w:rPr>
  </w:style>
  <w:style w:type="table" w:customStyle="1" w:styleId="168">
    <w:name w:val="网格表 1 浅色1"/>
    <w:qFormat/>
    <w:uiPriority w:val="99"/>
    <w:rPr>
      <w:lang w:val="en-US" w:eastAsia="zh-CN" w:bidi="ar-SA"/>
    </w:rPr>
  </w:style>
  <w:style w:type="table" w:customStyle="1" w:styleId="169">
    <w:name w:val="Grid Table 1 Light - Accent 1"/>
    <w:qFormat/>
    <w:uiPriority w:val="99"/>
    <w:rPr>
      <w:lang w:val="en-US" w:eastAsia="zh-CN" w:bidi="ar-SA"/>
    </w:rPr>
  </w:style>
  <w:style w:type="table" w:customStyle="1" w:styleId="170">
    <w:name w:val="Grid Table 1 Light - Accent 2"/>
    <w:qFormat/>
    <w:uiPriority w:val="99"/>
    <w:rPr>
      <w:lang w:val="en-US" w:eastAsia="zh-CN" w:bidi="ar-SA"/>
    </w:rPr>
  </w:style>
  <w:style w:type="table" w:customStyle="1" w:styleId="171">
    <w:name w:val="Grid Table 1 Light - Accent 3"/>
    <w:qFormat/>
    <w:uiPriority w:val="99"/>
    <w:rPr>
      <w:lang w:val="en-US" w:eastAsia="zh-CN" w:bidi="ar-SA"/>
    </w:rPr>
  </w:style>
  <w:style w:type="table" w:customStyle="1" w:styleId="172">
    <w:name w:val="Grid Table 1 Light - Accent 4"/>
    <w:qFormat/>
    <w:uiPriority w:val="99"/>
    <w:rPr>
      <w:lang w:val="en-US" w:eastAsia="zh-CN" w:bidi="ar-SA"/>
    </w:rPr>
  </w:style>
  <w:style w:type="table" w:customStyle="1" w:styleId="173">
    <w:name w:val="Grid Table 1 Light - Accent 5"/>
    <w:qFormat/>
    <w:uiPriority w:val="99"/>
    <w:rPr>
      <w:lang w:val="en-US" w:eastAsia="zh-CN" w:bidi="ar-SA"/>
    </w:rPr>
  </w:style>
  <w:style w:type="table" w:customStyle="1" w:styleId="174">
    <w:name w:val="Grid Table 1 Light - Accent 6"/>
    <w:qFormat/>
    <w:uiPriority w:val="99"/>
    <w:rPr>
      <w:lang w:val="en-US" w:eastAsia="zh-CN" w:bidi="ar-SA"/>
    </w:rPr>
  </w:style>
  <w:style w:type="table" w:customStyle="1" w:styleId="175">
    <w:name w:val="网格表 21"/>
    <w:qFormat/>
    <w:uiPriority w:val="99"/>
    <w:rPr>
      <w:lang w:val="en-US" w:eastAsia="zh-CN" w:bidi="ar-SA"/>
    </w:rPr>
  </w:style>
  <w:style w:type="table" w:customStyle="1" w:styleId="176">
    <w:name w:val="Grid Table 2 - Accent 1"/>
    <w:qFormat/>
    <w:uiPriority w:val="99"/>
    <w:rPr>
      <w:lang w:val="en-US" w:eastAsia="zh-CN" w:bidi="ar-SA"/>
    </w:rPr>
  </w:style>
  <w:style w:type="table" w:customStyle="1" w:styleId="177">
    <w:name w:val="Grid Table 2 - Accent 2"/>
    <w:qFormat/>
    <w:uiPriority w:val="99"/>
    <w:rPr>
      <w:lang w:val="en-US" w:eastAsia="zh-CN" w:bidi="ar-SA"/>
    </w:rPr>
  </w:style>
  <w:style w:type="table" w:customStyle="1" w:styleId="178">
    <w:name w:val="Grid Table 2 - Accent 3"/>
    <w:qFormat/>
    <w:uiPriority w:val="99"/>
    <w:rPr>
      <w:lang w:val="en-US" w:eastAsia="zh-CN" w:bidi="ar-SA"/>
    </w:rPr>
  </w:style>
  <w:style w:type="table" w:customStyle="1" w:styleId="179">
    <w:name w:val="Grid Table 2 - Accent 4"/>
    <w:qFormat/>
    <w:uiPriority w:val="99"/>
    <w:rPr>
      <w:lang w:val="en-US" w:eastAsia="zh-CN" w:bidi="ar-SA"/>
    </w:rPr>
  </w:style>
  <w:style w:type="table" w:customStyle="1" w:styleId="180">
    <w:name w:val="Grid Table 2 - Accent 5"/>
    <w:qFormat/>
    <w:uiPriority w:val="99"/>
    <w:rPr>
      <w:lang w:val="en-US" w:eastAsia="zh-CN" w:bidi="ar-SA"/>
    </w:rPr>
  </w:style>
  <w:style w:type="table" w:customStyle="1" w:styleId="181">
    <w:name w:val="Grid Table 2 - Accent 6"/>
    <w:qFormat/>
    <w:uiPriority w:val="99"/>
    <w:rPr>
      <w:lang w:val="en-US" w:eastAsia="zh-CN" w:bidi="ar-SA"/>
    </w:rPr>
  </w:style>
  <w:style w:type="table" w:customStyle="1" w:styleId="182">
    <w:name w:val="网格表 31"/>
    <w:qFormat/>
    <w:uiPriority w:val="99"/>
    <w:rPr>
      <w:lang w:val="en-US" w:eastAsia="zh-CN" w:bidi="ar-SA"/>
    </w:rPr>
  </w:style>
  <w:style w:type="table" w:customStyle="1" w:styleId="183">
    <w:name w:val="Grid Table 3 - Accent 1"/>
    <w:qFormat/>
    <w:uiPriority w:val="99"/>
    <w:rPr>
      <w:lang w:val="en-US" w:eastAsia="zh-CN" w:bidi="ar-SA"/>
    </w:rPr>
  </w:style>
  <w:style w:type="table" w:customStyle="1" w:styleId="184">
    <w:name w:val="Grid Table 3 - Accent 2"/>
    <w:qFormat/>
    <w:uiPriority w:val="99"/>
    <w:rPr>
      <w:lang w:val="en-US" w:eastAsia="zh-CN" w:bidi="ar-SA"/>
    </w:rPr>
  </w:style>
  <w:style w:type="table" w:customStyle="1" w:styleId="185">
    <w:name w:val="Grid Table 3 - Accent 3"/>
    <w:qFormat/>
    <w:uiPriority w:val="99"/>
    <w:rPr>
      <w:lang w:val="en-US" w:eastAsia="zh-CN" w:bidi="ar-SA"/>
    </w:rPr>
  </w:style>
  <w:style w:type="table" w:customStyle="1" w:styleId="186">
    <w:name w:val="Grid Table 3 - Accent 4"/>
    <w:qFormat/>
    <w:uiPriority w:val="99"/>
    <w:rPr>
      <w:lang w:val="en-US" w:eastAsia="zh-CN" w:bidi="ar-SA"/>
    </w:rPr>
  </w:style>
  <w:style w:type="table" w:customStyle="1" w:styleId="187">
    <w:name w:val="Grid Table 3 - Accent 5"/>
    <w:qFormat/>
    <w:uiPriority w:val="99"/>
    <w:rPr>
      <w:lang w:val="en-US" w:eastAsia="zh-CN" w:bidi="ar-SA"/>
    </w:rPr>
  </w:style>
  <w:style w:type="table" w:customStyle="1" w:styleId="188">
    <w:name w:val="Grid Table 3 - Accent 6"/>
    <w:qFormat/>
    <w:uiPriority w:val="99"/>
    <w:rPr>
      <w:lang w:val="en-US" w:eastAsia="zh-CN" w:bidi="ar-SA"/>
    </w:rPr>
  </w:style>
  <w:style w:type="table" w:customStyle="1" w:styleId="189">
    <w:name w:val="网格表 41"/>
    <w:qFormat/>
    <w:uiPriority w:val="59"/>
    <w:rPr>
      <w:lang w:val="en-US" w:eastAsia="zh-CN" w:bidi="ar-SA"/>
    </w:rPr>
  </w:style>
  <w:style w:type="table" w:customStyle="1" w:styleId="190">
    <w:name w:val="Grid Table 4 - Accent 1"/>
    <w:qFormat/>
    <w:uiPriority w:val="59"/>
    <w:rPr>
      <w:lang w:val="en-US" w:eastAsia="zh-CN" w:bidi="ar-SA"/>
    </w:rPr>
  </w:style>
  <w:style w:type="table" w:customStyle="1" w:styleId="191">
    <w:name w:val="Grid Table 4 - Accent 2"/>
    <w:qFormat/>
    <w:uiPriority w:val="59"/>
    <w:rPr>
      <w:lang w:val="en-US" w:eastAsia="zh-CN" w:bidi="ar-SA"/>
    </w:rPr>
  </w:style>
  <w:style w:type="table" w:customStyle="1" w:styleId="192">
    <w:name w:val="Grid Table 4 - Accent 3"/>
    <w:qFormat/>
    <w:uiPriority w:val="59"/>
    <w:rPr>
      <w:lang w:val="en-US" w:eastAsia="zh-CN" w:bidi="ar-SA"/>
    </w:rPr>
  </w:style>
  <w:style w:type="table" w:customStyle="1" w:styleId="193">
    <w:name w:val="Grid Table 4 - Accent 4"/>
    <w:qFormat/>
    <w:uiPriority w:val="59"/>
    <w:rPr>
      <w:lang w:val="en-US" w:eastAsia="zh-CN" w:bidi="ar-SA"/>
    </w:rPr>
  </w:style>
  <w:style w:type="table" w:customStyle="1" w:styleId="194">
    <w:name w:val="Grid Table 4 - Accent 5"/>
    <w:qFormat/>
    <w:uiPriority w:val="59"/>
    <w:rPr>
      <w:lang w:val="en-US" w:eastAsia="zh-CN" w:bidi="ar-SA"/>
    </w:rPr>
  </w:style>
  <w:style w:type="table" w:customStyle="1" w:styleId="195">
    <w:name w:val="Grid Table 4 - Accent 6"/>
    <w:qFormat/>
    <w:uiPriority w:val="59"/>
    <w:rPr>
      <w:lang w:val="en-US" w:eastAsia="zh-CN" w:bidi="ar-SA"/>
    </w:rPr>
  </w:style>
  <w:style w:type="table" w:customStyle="1" w:styleId="196">
    <w:name w:val="网格表 5 深色1"/>
    <w:qFormat/>
    <w:uiPriority w:val="99"/>
    <w:rPr>
      <w:lang w:val="en-US" w:eastAsia="zh-CN" w:bidi="ar-SA"/>
    </w:rPr>
  </w:style>
  <w:style w:type="table" w:customStyle="1" w:styleId="197">
    <w:name w:val="Grid Table 5 Dark- Accent 1"/>
    <w:qFormat/>
    <w:uiPriority w:val="99"/>
    <w:rPr>
      <w:lang w:val="en-US" w:eastAsia="zh-CN" w:bidi="ar-SA"/>
    </w:rPr>
  </w:style>
  <w:style w:type="table" w:customStyle="1" w:styleId="198">
    <w:name w:val="Grid Table 5 Dark - Accent 2"/>
    <w:qFormat/>
    <w:uiPriority w:val="99"/>
    <w:rPr>
      <w:lang w:val="en-US" w:eastAsia="zh-CN" w:bidi="ar-SA"/>
    </w:rPr>
  </w:style>
  <w:style w:type="table" w:customStyle="1" w:styleId="199">
    <w:name w:val="Grid Table 5 Dark - Accent 3"/>
    <w:qFormat/>
    <w:uiPriority w:val="99"/>
    <w:rPr>
      <w:lang w:val="en-US" w:eastAsia="zh-CN" w:bidi="ar-SA"/>
    </w:rPr>
  </w:style>
  <w:style w:type="table" w:customStyle="1" w:styleId="200">
    <w:name w:val="Grid Table 5 Dark- Accent 4"/>
    <w:qFormat/>
    <w:uiPriority w:val="99"/>
    <w:rPr>
      <w:lang w:val="en-US" w:eastAsia="zh-CN" w:bidi="ar-SA"/>
    </w:rPr>
  </w:style>
  <w:style w:type="table" w:customStyle="1" w:styleId="201">
    <w:name w:val="Grid Table 5 Dark - Accent 5"/>
    <w:qFormat/>
    <w:uiPriority w:val="99"/>
    <w:rPr>
      <w:lang w:val="en-US" w:eastAsia="zh-CN" w:bidi="ar-SA"/>
    </w:rPr>
  </w:style>
  <w:style w:type="table" w:customStyle="1" w:styleId="202">
    <w:name w:val="Grid Table 5 Dark - Accent 6"/>
    <w:qFormat/>
    <w:uiPriority w:val="99"/>
    <w:rPr>
      <w:lang w:val="en-US" w:eastAsia="zh-CN" w:bidi="ar-SA"/>
    </w:rPr>
  </w:style>
  <w:style w:type="table" w:customStyle="1" w:styleId="203">
    <w:name w:val="网格表 6 彩色1"/>
    <w:qFormat/>
    <w:uiPriority w:val="99"/>
    <w:rPr>
      <w:lang w:val="en-US" w:eastAsia="zh-CN" w:bidi="ar-SA"/>
    </w:rPr>
  </w:style>
  <w:style w:type="table" w:customStyle="1" w:styleId="204">
    <w:name w:val="Grid Table 6 Colorful - Accent 1"/>
    <w:qFormat/>
    <w:uiPriority w:val="99"/>
    <w:rPr>
      <w:lang w:val="en-US" w:eastAsia="zh-CN" w:bidi="ar-SA"/>
    </w:rPr>
  </w:style>
  <w:style w:type="table" w:customStyle="1" w:styleId="205">
    <w:name w:val="Grid Table 6 Colorful - Accent 2"/>
    <w:qFormat/>
    <w:uiPriority w:val="99"/>
    <w:rPr>
      <w:lang w:val="en-US" w:eastAsia="zh-CN" w:bidi="ar-SA"/>
    </w:rPr>
  </w:style>
  <w:style w:type="table" w:customStyle="1" w:styleId="206">
    <w:name w:val="Grid Table 6 Colorful - Accent 3"/>
    <w:qFormat/>
    <w:uiPriority w:val="99"/>
    <w:rPr>
      <w:lang w:val="en-US" w:eastAsia="zh-CN" w:bidi="ar-SA"/>
    </w:rPr>
  </w:style>
  <w:style w:type="table" w:customStyle="1" w:styleId="207">
    <w:name w:val="Grid Table 6 Colorful - Accent 4"/>
    <w:qFormat/>
    <w:uiPriority w:val="99"/>
    <w:rPr>
      <w:lang w:val="en-US" w:eastAsia="zh-CN" w:bidi="ar-SA"/>
    </w:rPr>
  </w:style>
  <w:style w:type="table" w:customStyle="1" w:styleId="208">
    <w:name w:val="Grid Table 6 Colorful - Accent 5"/>
    <w:qFormat/>
    <w:uiPriority w:val="99"/>
    <w:rPr>
      <w:lang w:val="en-US" w:eastAsia="zh-CN" w:bidi="ar-SA"/>
    </w:rPr>
  </w:style>
  <w:style w:type="table" w:customStyle="1" w:styleId="209">
    <w:name w:val="Grid Table 6 Colorful - Accent 6"/>
    <w:qFormat/>
    <w:uiPriority w:val="99"/>
    <w:rPr>
      <w:lang w:val="en-US" w:eastAsia="zh-CN" w:bidi="ar-SA"/>
    </w:rPr>
  </w:style>
  <w:style w:type="table" w:customStyle="1" w:styleId="210">
    <w:name w:val="网格表 7 彩色1"/>
    <w:qFormat/>
    <w:uiPriority w:val="99"/>
    <w:rPr>
      <w:lang w:val="en-US" w:eastAsia="zh-CN" w:bidi="ar-SA"/>
    </w:rPr>
  </w:style>
  <w:style w:type="table" w:customStyle="1" w:styleId="211">
    <w:name w:val="Grid Table 7 Colorful - Accent 1"/>
    <w:qFormat/>
    <w:uiPriority w:val="99"/>
    <w:rPr>
      <w:lang w:val="en-US" w:eastAsia="zh-CN" w:bidi="ar-SA"/>
    </w:rPr>
  </w:style>
  <w:style w:type="table" w:customStyle="1" w:styleId="212">
    <w:name w:val="Grid Table 7 Colorful - Accent 2"/>
    <w:qFormat/>
    <w:uiPriority w:val="99"/>
    <w:rPr>
      <w:lang w:val="en-US" w:eastAsia="zh-CN" w:bidi="ar-SA"/>
    </w:rPr>
  </w:style>
  <w:style w:type="table" w:customStyle="1" w:styleId="213">
    <w:name w:val="Grid Table 7 Colorful - Accent 3"/>
    <w:qFormat/>
    <w:uiPriority w:val="99"/>
    <w:rPr>
      <w:lang w:val="en-US" w:eastAsia="zh-CN" w:bidi="ar-SA"/>
    </w:rPr>
  </w:style>
  <w:style w:type="table" w:customStyle="1" w:styleId="214">
    <w:name w:val="Grid Table 7 Colorful - Accent 4"/>
    <w:qFormat/>
    <w:uiPriority w:val="99"/>
    <w:rPr>
      <w:lang w:val="en-US" w:eastAsia="zh-CN" w:bidi="ar-SA"/>
    </w:rPr>
  </w:style>
  <w:style w:type="table" w:customStyle="1" w:styleId="215">
    <w:name w:val="Grid Table 7 Colorful - Accent 5"/>
    <w:qFormat/>
    <w:uiPriority w:val="99"/>
    <w:rPr>
      <w:lang w:val="en-US" w:eastAsia="zh-CN" w:bidi="ar-SA"/>
    </w:rPr>
  </w:style>
  <w:style w:type="table" w:customStyle="1" w:styleId="216">
    <w:name w:val="Grid Table 7 Colorful - Accent 6"/>
    <w:qFormat/>
    <w:uiPriority w:val="99"/>
    <w:rPr>
      <w:lang w:val="en-US" w:eastAsia="zh-CN" w:bidi="ar-SA"/>
    </w:rPr>
  </w:style>
  <w:style w:type="table" w:customStyle="1" w:styleId="217">
    <w:name w:val="清单表 1 浅色1"/>
    <w:qFormat/>
    <w:uiPriority w:val="99"/>
    <w:rPr>
      <w:lang w:val="en-US" w:eastAsia="zh-CN" w:bidi="ar-SA"/>
    </w:rPr>
  </w:style>
  <w:style w:type="table" w:customStyle="1" w:styleId="218">
    <w:name w:val="List Table 1 Light - Accent 1"/>
    <w:qFormat/>
    <w:uiPriority w:val="99"/>
    <w:rPr>
      <w:lang w:val="en-US" w:eastAsia="zh-CN" w:bidi="ar-SA"/>
    </w:rPr>
  </w:style>
  <w:style w:type="table" w:customStyle="1" w:styleId="219">
    <w:name w:val="List Table 1 Light - Accent 2"/>
    <w:qFormat/>
    <w:uiPriority w:val="99"/>
    <w:rPr>
      <w:lang w:val="en-US" w:eastAsia="zh-CN" w:bidi="ar-SA"/>
    </w:rPr>
  </w:style>
  <w:style w:type="table" w:customStyle="1" w:styleId="220">
    <w:name w:val="List Table 1 Light - Accent 3"/>
    <w:qFormat/>
    <w:uiPriority w:val="99"/>
    <w:rPr>
      <w:lang w:val="en-US" w:eastAsia="zh-CN" w:bidi="ar-SA"/>
    </w:rPr>
  </w:style>
  <w:style w:type="table" w:customStyle="1" w:styleId="221">
    <w:name w:val="List Table 1 Light - Accent 4"/>
    <w:qFormat/>
    <w:uiPriority w:val="99"/>
    <w:rPr>
      <w:lang w:val="en-US" w:eastAsia="zh-CN" w:bidi="ar-SA"/>
    </w:rPr>
  </w:style>
  <w:style w:type="table" w:customStyle="1" w:styleId="222">
    <w:name w:val="List Table 1 Light - Accent 5"/>
    <w:qFormat/>
    <w:uiPriority w:val="99"/>
    <w:rPr>
      <w:lang w:val="en-US" w:eastAsia="zh-CN" w:bidi="ar-SA"/>
    </w:rPr>
  </w:style>
  <w:style w:type="table" w:customStyle="1" w:styleId="223">
    <w:name w:val="List Table 1 Light - Accent 6"/>
    <w:qFormat/>
    <w:uiPriority w:val="99"/>
    <w:rPr>
      <w:lang w:val="en-US" w:eastAsia="zh-CN" w:bidi="ar-SA"/>
    </w:rPr>
  </w:style>
  <w:style w:type="table" w:customStyle="1" w:styleId="224">
    <w:name w:val="清单表 21"/>
    <w:qFormat/>
    <w:uiPriority w:val="99"/>
    <w:rPr>
      <w:lang w:val="en-US" w:eastAsia="zh-CN" w:bidi="ar-SA"/>
    </w:rPr>
  </w:style>
  <w:style w:type="table" w:customStyle="1" w:styleId="225">
    <w:name w:val="List Table 2 - Accent 1"/>
    <w:qFormat/>
    <w:uiPriority w:val="99"/>
    <w:rPr>
      <w:lang w:val="en-US" w:eastAsia="zh-CN" w:bidi="ar-SA"/>
    </w:rPr>
  </w:style>
  <w:style w:type="table" w:customStyle="1" w:styleId="226">
    <w:name w:val="List Table 2 - Accent 2"/>
    <w:qFormat/>
    <w:uiPriority w:val="99"/>
    <w:rPr>
      <w:lang w:val="en-US" w:eastAsia="zh-CN" w:bidi="ar-SA"/>
    </w:rPr>
  </w:style>
  <w:style w:type="table" w:customStyle="1" w:styleId="227">
    <w:name w:val="List Table 2 - Accent 3"/>
    <w:qFormat/>
    <w:uiPriority w:val="99"/>
    <w:rPr>
      <w:lang w:val="en-US" w:eastAsia="zh-CN" w:bidi="ar-SA"/>
    </w:rPr>
  </w:style>
  <w:style w:type="table" w:customStyle="1" w:styleId="228">
    <w:name w:val="List Table 2 - Accent 4"/>
    <w:qFormat/>
    <w:uiPriority w:val="99"/>
    <w:rPr>
      <w:lang w:val="en-US" w:eastAsia="zh-CN" w:bidi="ar-SA"/>
    </w:rPr>
  </w:style>
  <w:style w:type="table" w:customStyle="1" w:styleId="229">
    <w:name w:val="List Table 2 - Accent 5"/>
    <w:qFormat/>
    <w:uiPriority w:val="99"/>
    <w:rPr>
      <w:lang w:val="en-US" w:eastAsia="zh-CN" w:bidi="ar-SA"/>
    </w:rPr>
  </w:style>
  <w:style w:type="table" w:customStyle="1" w:styleId="230">
    <w:name w:val="List Table 2 - Accent 6"/>
    <w:qFormat/>
    <w:uiPriority w:val="99"/>
    <w:rPr>
      <w:lang w:val="en-US" w:eastAsia="zh-CN" w:bidi="ar-SA"/>
    </w:rPr>
  </w:style>
  <w:style w:type="table" w:customStyle="1" w:styleId="231">
    <w:name w:val="清单表 31"/>
    <w:qFormat/>
    <w:uiPriority w:val="99"/>
    <w:rPr>
      <w:lang w:val="en-US" w:eastAsia="zh-CN" w:bidi="ar-SA"/>
    </w:rPr>
  </w:style>
  <w:style w:type="table" w:customStyle="1" w:styleId="232">
    <w:name w:val="List Table 3 - Accent 1"/>
    <w:qFormat/>
    <w:uiPriority w:val="99"/>
    <w:rPr>
      <w:lang w:val="en-US" w:eastAsia="zh-CN" w:bidi="ar-SA"/>
    </w:rPr>
  </w:style>
  <w:style w:type="table" w:customStyle="1" w:styleId="233">
    <w:name w:val="List Table 3 - Accent 2"/>
    <w:qFormat/>
    <w:uiPriority w:val="99"/>
    <w:rPr>
      <w:lang w:val="en-US" w:eastAsia="zh-CN" w:bidi="ar-SA"/>
    </w:rPr>
  </w:style>
  <w:style w:type="table" w:customStyle="1" w:styleId="234">
    <w:name w:val="List Table 3 - Accent 3"/>
    <w:qFormat/>
    <w:uiPriority w:val="99"/>
    <w:rPr>
      <w:lang w:val="en-US" w:eastAsia="zh-CN" w:bidi="ar-SA"/>
    </w:rPr>
  </w:style>
  <w:style w:type="table" w:customStyle="1" w:styleId="235">
    <w:name w:val="List Table 3 - Accent 4"/>
    <w:qFormat/>
    <w:uiPriority w:val="99"/>
    <w:rPr>
      <w:lang w:val="en-US" w:eastAsia="zh-CN" w:bidi="ar-SA"/>
    </w:rPr>
  </w:style>
  <w:style w:type="table" w:customStyle="1" w:styleId="236">
    <w:name w:val="List Table 3 - Accent 5"/>
    <w:qFormat/>
    <w:uiPriority w:val="99"/>
    <w:rPr>
      <w:lang w:val="en-US" w:eastAsia="zh-CN" w:bidi="ar-SA"/>
    </w:rPr>
  </w:style>
  <w:style w:type="table" w:customStyle="1" w:styleId="237">
    <w:name w:val="List Table 3 - Accent 6"/>
    <w:qFormat/>
    <w:uiPriority w:val="99"/>
    <w:rPr>
      <w:lang w:val="en-US" w:eastAsia="zh-CN" w:bidi="ar-SA"/>
    </w:rPr>
  </w:style>
  <w:style w:type="table" w:customStyle="1" w:styleId="238">
    <w:name w:val="清单表 41"/>
    <w:qFormat/>
    <w:uiPriority w:val="99"/>
    <w:rPr>
      <w:lang w:val="en-US" w:eastAsia="zh-CN" w:bidi="ar-SA"/>
    </w:rPr>
  </w:style>
  <w:style w:type="table" w:customStyle="1" w:styleId="239">
    <w:name w:val="List Table 4 - Accent 1"/>
    <w:qFormat/>
    <w:uiPriority w:val="99"/>
    <w:rPr>
      <w:lang w:val="en-US" w:eastAsia="zh-CN" w:bidi="ar-SA"/>
    </w:rPr>
  </w:style>
  <w:style w:type="table" w:customStyle="1" w:styleId="240">
    <w:name w:val="List Table 4 - Accent 2"/>
    <w:qFormat/>
    <w:uiPriority w:val="99"/>
    <w:rPr>
      <w:lang w:val="en-US" w:eastAsia="zh-CN" w:bidi="ar-SA"/>
    </w:rPr>
  </w:style>
  <w:style w:type="table" w:customStyle="1" w:styleId="241">
    <w:name w:val="List Table 4 - Accent 3"/>
    <w:qFormat/>
    <w:uiPriority w:val="99"/>
    <w:rPr>
      <w:lang w:val="en-US" w:eastAsia="zh-CN" w:bidi="ar-SA"/>
    </w:rPr>
  </w:style>
  <w:style w:type="table" w:customStyle="1" w:styleId="242">
    <w:name w:val="List Table 4 - Accent 4"/>
    <w:qFormat/>
    <w:uiPriority w:val="99"/>
    <w:rPr>
      <w:lang w:val="en-US" w:eastAsia="zh-CN" w:bidi="ar-SA"/>
    </w:rPr>
  </w:style>
  <w:style w:type="table" w:customStyle="1" w:styleId="243">
    <w:name w:val="List Table 4 - Accent 5"/>
    <w:qFormat/>
    <w:uiPriority w:val="99"/>
    <w:rPr>
      <w:lang w:val="en-US" w:eastAsia="zh-CN" w:bidi="ar-SA"/>
    </w:rPr>
  </w:style>
  <w:style w:type="table" w:customStyle="1" w:styleId="244">
    <w:name w:val="List Table 4 - Accent 6"/>
    <w:qFormat/>
    <w:uiPriority w:val="99"/>
    <w:rPr>
      <w:lang w:val="en-US" w:eastAsia="zh-CN" w:bidi="ar-SA"/>
    </w:rPr>
  </w:style>
  <w:style w:type="table" w:customStyle="1" w:styleId="245">
    <w:name w:val="清单表 5 深色1"/>
    <w:qFormat/>
    <w:uiPriority w:val="99"/>
    <w:rPr>
      <w:lang w:val="en-US" w:eastAsia="zh-CN" w:bidi="ar-SA"/>
    </w:rPr>
  </w:style>
  <w:style w:type="table" w:customStyle="1" w:styleId="246">
    <w:name w:val="List Table 5 Dark - Accent 1"/>
    <w:qFormat/>
    <w:uiPriority w:val="99"/>
    <w:rPr>
      <w:lang w:val="en-US" w:eastAsia="zh-CN" w:bidi="ar-SA"/>
    </w:rPr>
  </w:style>
  <w:style w:type="table" w:customStyle="1" w:styleId="247">
    <w:name w:val="List Table 5 Dark - Accent 2"/>
    <w:qFormat/>
    <w:uiPriority w:val="99"/>
    <w:rPr>
      <w:lang w:val="en-US" w:eastAsia="zh-CN" w:bidi="ar-SA"/>
    </w:rPr>
  </w:style>
  <w:style w:type="table" w:customStyle="1" w:styleId="248">
    <w:name w:val="List Table 5 Dark - Accent 3"/>
    <w:qFormat/>
    <w:uiPriority w:val="99"/>
    <w:rPr>
      <w:lang w:val="en-US" w:eastAsia="zh-CN" w:bidi="ar-SA"/>
    </w:rPr>
  </w:style>
  <w:style w:type="table" w:customStyle="1" w:styleId="249">
    <w:name w:val="List Table 5 Dark - Accent 4"/>
    <w:qFormat/>
    <w:uiPriority w:val="99"/>
    <w:rPr>
      <w:lang w:val="en-US" w:eastAsia="zh-CN" w:bidi="ar-SA"/>
    </w:rPr>
  </w:style>
  <w:style w:type="table" w:customStyle="1" w:styleId="250">
    <w:name w:val="List Table 5 Dark - Accent 5"/>
    <w:qFormat/>
    <w:uiPriority w:val="99"/>
    <w:rPr>
      <w:lang w:val="en-US" w:eastAsia="zh-CN" w:bidi="ar-SA"/>
    </w:rPr>
  </w:style>
  <w:style w:type="table" w:customStyle="1" w:styleId="251">
    <w:name w:val="List Table 5 Dark - Accent 6"/>
    <w:qFormat/>
    <w:uiPriority w:val="99"/>
    <w:rPr>
      <w:lang w:val="en-US" w:eastAsia="zh-CN" w:bidi="ar-SA"/>
    </w:rPr>
  </w:style>
  <w:style w:type="table" w:customStyle="1" w:styleId="252">
    <w:name w:val="清单表 6 彩色1"/>
    <w:qFormat/>
    <w:uiPriority w:val="99"/>
    <w:rPr>
      <w:lang w:val="en-US" w:eastAsia="zh-CN" w:bidi="ar-SA"/>
    </w:rPr>
  </w:style>
  <w:style w:type="table" w:customStyle="1" w:styleId="253">
    <w:name w:val="List Table 6 Colorful - Accent 1"/>
    <w:qFormat/>
    <w:uiPriority w:val="99"/>
    <w:rPr>
      <w:lang w:val="en-US" w:eastAsia="zh-CN" w:bidi="ar-SA"/>
    </w:rPr>
  </w:style>
  <w:style w:type="table" w:customStyle="1" w:styleId="254">
    <w:name w:val="List Table 6 Colorful - Accent 2"/>
    <w:qFormat/>
    <w:uiPriority w:val="99"/>
    <w:rPr>
      <w:lang w:val="en-US" w:eastAsia="zh-CN" w:bidi="ar-SA"/>
    </w:rPr>
  </w:style>
  <w:style w:type="table" w:customStyle="1" w:styleId="255">
    <w:name w:val="List Table 6 Colorful - Accent 3"/>
    <w:qFormat/>
    <w:uiPriority w:val="99"/>
    <w:rPr>
      <w:lang w:val="en-US" w:eastAsia="zh-CN" w:bidi="ar-SA"/>
    </w:rPr>
  </w:style>
  <w:style w:type="table" w:customStyle="1" w:styleId="256">
    <w:name w:val="List Table 6 Colorful - Accent 4"/>
    <w:qFormat/>
    <w:uiPriority w:val="99"/>
    <w:rPr>
      <w:lang w:val="en-US" w:eastAsia="zh-CN" w:bidi="ar-SA"/>
    </w:rPr>
  </w:style>
  <w:style w:type="table" w:customStyle="1" w:styleId="257">
    <w:name w:val="List Table 6 Colorful - Accent 5"/>
    <w:qFormat/>
    <w:uiPriority w:val="99"/>
    <w:rPr>
      <w:lang w:val="en-US" w:eastAsia="zh-CN" w:bidi="ar-SA"/>
    </w:rPr>
  </w:style>
  <w:style w:type="table" w:customStyle="1" w:styleId="258">
    <w:name w:val="List Table 6 Colorful - Accent 6"/>
    <w:qFormat/>
    <w:uiPriority w:val="99"/>
    <w:rPr>
      <w:lang w:val="en-US" w:eastAsia="zh-CN" w:bidi="ar-SA"/>
    </w:rPr>
  </w:style>
  <w:style w:type="table" w:customStyle="1" w:styleId="259">
    <w:name w:val="清单表 7 彩色1"/>
    <w:qFormat/>
    <w:uiPriority w:val="99"/>
    <w:rPr>
      <w:lang w:val="en-US" w:eastAsia="zh-CN" w:bidi="ar-SA"/>
    </w:rPr>
  </w:style>
  <w:style w:type="table" w:customStyle="1" w:styleId="260">
    <w:name w:val="List Table 7 Colorful - Accent 1"/>
    <w:qFormat/>
    <w:uiPriority w:val="99"/>
    <w:rPr>
      <w:lang w:val="en-US" w:eastAsia="zh-CN" w:bidi="ar-SA"/>
    </w:rPr>
  </w:style>
  <w:style w:type="table" w:customStyle="1" w:styleId="261">
    <w:name w:val="List Table 7 Colorful - Accent 2"/>
    <w:qFormat/>
    <w:uiPriority w:val="99"/>
    <w:rPr>
      <w:lang w:val="en-US" w:eastAsia="zh-CN" w:bidi="ar-SA"/>
    </w:rPr>
  </w:style>
  <w:style w:type="table" w:customStyle="1" w:styleId="262">
    <w:name w:val="List Table 7 Colorful - Accent 3"/>
    <w:qFormat/>
    <w:uiPriority w:val="99"/>
    <w:rPr>
      <w:lang w:val="en-US" w:eastAsia="zh-CN" w:bidi="ar-SA"/>
    </w:rPr>
  </w:style>
  <w:style w:type="table" w:customStyle="1" w:styleId="263">
    <w:name w:val="List Table 7 Colorful - Accent 4"/>
    <w:qFormat/>
    <w:uiPriority w:val="99"/>
    <w:rPr>
      <w:lang w:val="en-US" w:eastAsia="zh-CN" w:bidi="ar-SA"/>
    </w:rPr>
  </w:style>
  <w:style w:type="table" w:customStyle="1" w:styleId="264">
    <w:name w:val="List Table 7 Colorful - Accent 5"/>
    <w:qFormat/>
    <w:uiPriority w:val="99"/>
    <w:rPr>
      <w:lang w:val="en-US" w:eastAsia="zh-CN" w:bidi="ar-SA"/>
    </w:rPr>
  </w:style>
  <w:style w:type="table" w:customStyle="1" w:styleId="265">
    <w:name w:val="List Table 7 Colorful - Accent 6"/>
    <w:qFormat/>
    <w:uiPriority w:val="99"/>
    <w:rPr>
      <w:lang w:val="en-US" w:eastAsia="zh-CN" w:bidi="ar-SA"/>
    </w:rPr>
  </w:style>
  <w:style w:type="table" w:customStyle="1" w:styleId="266">
    <w:name w:val="Lined - Accent"/>
    <w:qFormat/>
    <w:uiPriority w:val="99"/>
    <w:rPr>
      <w:color w:val="404040"/>
      <w:lang w:val="en-US" w:eastAsia="zh-CN" w:bidi="ar-SA"/>
    </w:rPr>
  </w:style>
  <w:style w:type="table" w:customStyle="1" w:styleId="267">
    <w:name w:val="Lined - Accent 1"/>
    <w:qFormat/>
    <w:uiPriority w:val="99"/>
    <w:rPr>
      <w:color w:val="404040"/>
      <w:lang w:val="en-US" w:eastAsia="zh-CN" w:bidi="ar-SA"/>
    </w:rPr>
  </w:style>
  <w:style w:type="table" w:customStyle="1" w:styleId="268">
    <w:name w:val="Lined - Accent 2"/>
    <w:qFormat/>
    <w:uiPriority w:val="99"/>
    <w:rPr>
      <w:color w:val="404040"/>
      <w:lang w:val="en-US" w:eastAsia="zh-CN" w:bidi="ar-SA"/>
    </w:rPr>
  </w:style>
  <w:style w:type="table" w:customStyle="1" w:styleId="269">
    <w:name w:val="Lined - Accent 3"/>
    <w:qFormat/>
    <w:uiPriority w:val="99"/>
    <w:rPr>
      <w:color w:val="404040"/>
      <w:lang w:val="en-US" w:eastAsia="zh-CN" w:bidi="ar-SA"/>
    </w:rPr>
  </w:style>
  <w:style w:type="table" w:customStyle="1" w:styleId="270">
    <w:name w:val="Lined - Accent 4"/>
    <w:qFormat/>
    <w:uiPriority w:val="99"/>
    <w:rPr>
      <w:color w:val="404040"/>
      <w:lang w:val="en-US" w:eastAsia="zh-CN" w:bidi="ar-SA"/>
    </w:rPr>
  </w:style>
  <w:style w:type="table" w:customStyle="1" w:styleId="271">
    <w:name w:val="Lined - Accent 5"/>
    <w:qFormat/>
    <w:uiPriority w:val="99"/>
    <w:rPr>
      <w:color w:val="404040"/>
      <w:lang w:val="en-US" w:eastAsia="zh-CN" w:bidi="ar-SA"/>
    </w:rPr>
  </w:style>
  <w:style w:type="table" w:customStyle="1" w:styleId="272">
    <w:name w:val="Lined - Accent 6"/>
    <w:qFormat/>
    <w:uiPriority w:val="99"/>
    <w:rPr>
      <w:color w:val="404040"/>
      <w:lang w:val="en-US" w:eastAsia="zh-CN" w:bidi="ar-SA"/>
    </w:rPr>
  </w:style>
  <w:style w:type="table" w:customStyle="1" w:styleId="273">
    <w:name w:val="Bordered &amp; Lined - Accent"/>
    <w:qFormat/>
    <w:uiPriority w:val="99"/>
    <w:rPr>
      <w:color w:val="404040"/>
      <w:lang w:val="en-US" w:eastAsia="zh-CN" w:bidi="ar-SA"/>
    </w:rPr>
  </w:style>
  <w:style w:type="table" w:customStyle="1" w:styleId="274">
    <w:name w:val="Bordered &amp; Lined - Accent 1"/>
    <w:qFormat/>
    <w:uiPriority w:val="99"/>
    <w:rPr>
      <w:color w:val="404040"/>
      <w:lang w:val="en-US" w:eastAsia="zh-CN" w:bidi="ar-SA"/>
    </w:rPr>
  </w:style>
  <w:style w:type="table" w:customStyle="1" w:styleId="275">
    <w:name w:val="Bordered &amp; Lined - Accent 2"/>
    <w:qFormat/>
    <w:uiPriority w:val="99"/>
    <w:rPr>
      <w:color w:val="404040"/>
      <w:lang w:val="en-US" w:eastAsia="zh-CN" w:bidi="ar-SA"/>
    </w:rPr>
  </w:style>
  <w:style w:type="table" w:customStyle="1" w:styleId="276">
    <w:name w:val="Bordered &amp; Lined - Accent 3"/>
    <w:qFormat/>
    <w:uiPriority w:val="99"/>
    <w:rPr>
      <w:color w:val="404040"/>
      <w:lang w:val="en-US" w:eastAsia="zh-CN" w:bidi="ar-SA"/>
    </w:rPr>
  </w:style>
  <w:style w:type="table" w:customStyle="1" w:styleId="277">
    <w:name w:val="Bordered &amp; Lined - Accent 4"/>
    <w:qFormat/>
    <w:uiPriority w:val="99"/>
    <w:rPr>
      <w:color w:val="404040"/>
      <w:lang w:val="en-US" w:eastAsia="zh-CN" w:bidi="ar-SA"/>
    </w:rPr>
  </w:style>
  <w:style w:type="table" w:customStyle="1" w:styleId="278">
    <w:name w:val="Bordered &amp; Lined - Accent 5"/>
    <w:qFormat/>
    <w:uiPriority w:val="99"/>
    <w:rPr>
      <w:color w:val="404040"/>
      <w:lang w:val="en-US" w:eastAsia="zh-CN" w:bidi="ar-SA"/>
    </w:rPr>
  </w:style>
  <w:style w:type="table" w:customStyle="1" w:styleId="279">
    <w:name w:val="Bordered &amp; Lined - Accent 6"/>
    <w:qFormat/>
    <w:uiPriority w:val="99"/>
    <w:rPr>
      <w:color w:val="404040"/>
      <w:lang w:val="en-US" w:eastAsia="zh-CN" w:bidi="ar-SA"/>
    </w:rPr>
  </w:style>
  <w:style w:type="table" w:customStyle="1" w:styleId="280">
    <w:name w:val="Bordered"/>
    <w:qFormat/>
    <w:uiPriority w:val="99"/>
    <w:rPr>
      <w:lang w:val="en-US" w:eastAsia="zh-CN" w:bidi="ar-SA"/>
    </w:rPr>
  </w:style>
  <w:style w:type="table" w:customStyle="1" w:styleId="281">
    <w:name w:val="Bordered - Accent 1"/>
    <w:qFormat/>
    <w:uiPriority w:val="99"/>
    <w:rPr>
      <w:lang w:val="en-US" w:eastAsia="zh-CN" w:bidi="ar-SA"/>
    </w:rPr>
  </w:style>
  <w:style w:type="table" w:customStyle="1" w:styleId="282">
    <w:name w:val="Bordered - Accent 2"/>
    <w:qFormat/>
    <w:uiPriority w:val="99"/>
    <w:rPr>
      <w:lang w:val="en-US" w:eastAsia="zh-CN" w:bidi="ar-SA"/>
    </w:rPr>
  </w:style>
  <w:style w:type="table" w:customStyle="1" w:styleId="283">
    <w:name w:val="Bordered - Accent 3"/>
    <w:qFormat/>
    <w:uiPriority w:val="99"/>
    <w:rPr>
      <w:lang w:val="en-US" w:eastAsia="zh-CN" w:bidi="ar-SA"/>
    </w:rPr>
  </w:style>
  <w:style w:type="table" w:customStyle="1" w:styleId="284">
    <w:name w:val="Bordered - Accent 4"/>
    <w:qFormat/>
    <w:uiPriority w:val="99"/>
    <w:rPr>
      <w:lang w:val="en-US" w:eastAsia="zh-CN" w:bidi="ar-SA"/>
    </w:rPr>
  </w:style>
  <w:style w:type="table" w:customStyle="1" w:styleId="285">
    <w:name w:val="Bordered - Accent 5"/>
    <w:qFormat/>
    <w:uiPriority w:val="99"/>
    <w:rPr>
      <w:lang w:val="en-US" w:eastAsia="zh-CN" w:bidi="ar-SA"/>
    </w:rPr>
  </w:style>
  <w:style w:type="table" w:customStyle="1" w:styleId="286">
    <w:name w:val="Bordered - Accent 6"/>
    <w:qFormat/>
    <w:uiPriority w:val="99"/>
    <w:rPr>
      <w:lang w:val="en-US" w:eastAsia="zh-CN" w:bidi="ar-SA"/>
    </w:rPr>
  </w:style>
  <w:style w:type="paragraph" w:customStyle="1" w:styleId="287">
    <w:name w:val="TOC 标题11"/>
    <w:unhideWhenUsed/>
    <w:qFormat/>
    <w:uiPriority w:val="39"/>
    <w:rPr>
      <w:rFonts w:hint="default" w:ascii="Times New Roman" w:hAnsi="Times New Roman" w:eastAsia="宋体" w:cs="Times New Roman"/>
      <w:lang w:val="en-US" w:eastAsia="zh-CN" w:bidi="ar-SA"/>
    </w:rPr>
  </w:style>
  <w:style w:type="paragraph" w:customStyle="1" w:styleId="288">
    <w:name w:val="标题 11"/>
    <w:basedOn w:val="1"/>
    <w:next w:val="1"/>
    <w:link w:val="289"/>
    <w:qFormat/>
    <w:uiPriority w:val="0"/>
    <w:pPr>
      <w:keepNext/>
      <w:keepLines/>
      <w:spacing w:before="340" w:after="330" w:line="578" w:lineRule="auto"/>
      <w:outlineLvl w:val="0"/>
    </w:pPr>
    <w:rPr>
      <w:rFonts w:ascii="Calibri" w:hAnsi="Calibri"/>
      <w:b/>
      <w:bCs/>
      <w:sz w:val="44"/>
      <w:szCs w:val="44"/>
    </w:rPr>
  </w:style>
  <w:style w:type="character" w:customStyle="1" w:styleId="289">
    <w:name w:val="标题 1 Char"/>
    <w:link w:val="288"/>
    <w:qFormat/>
    <w:uiPriority w:val="0"/>
    <w:rPr>
      <w:rFonts w:ascii="Calibri" w:hAnsi="Calibri" w:eastAsia="宋体" w:cs="Times New Roman"/>
      <w:b/>
      <w:bCs/>
      <w:sz w:val="44"/>
      <w:szCs w:val="44"/>
    </w:rPr>
  </w:style>
  <w:style w:type="paragraph" w:customStyle="1" w:styleId="290">
    <w:name w:val="标题 21"/>
    <w:basedOn w:val="1"/>
    <w:next w:val="291"/>
    <w:link w:val="292"/>
    <w:qFormat/>
    <w:uiPriority w:val="0"/>
    <w:pPr>
      <w:keepNext/>
      <w:keepLines/>
      <w:spacing w:before="260" w:after="260" w:line="416" w:lineRule="auto"/>
      <w:outlineLvl w:val="1"/>
    </w:pPr>
    <w:rPr>
      <w:rFonts w:ascii="Cambria" w:hAnsi="Cambria"/>
      <w:b/>
      <w:bCs/>
      <w:sz w:val="32"/>
      <w:szCs w:val="32"/>
    </w:rPr>
  </w:style>
  <w:style w:type="paragraph" w:customStyle="1" w:styleId="291">
    <w:name w:val="正文缩进1"/>
    <w:basedOn w:val="1"/>
    <w:qFormat/>
    <w:uiPriority w:val="0"/>
    <w:pPr>
      <w:ind w:firstLine="420"/>
    </w:pPr>
    <w:rPr>
      <w:rFonts w:ascii="Calibri" w:hAnsi="Calibri"/>
    </w:rPr>
  </w:style>
  <w:style w:type="character" w:customStyle="1" w:styleId="292">
    <w:name w:val="标题 2 Char"/>
    <w:link w:val="290"/>
    <w:qFormat/>
    <w:uiPriority w:val="0"/>
    <w:rPr>
      <w:rFonts w:ascii="Cambria" w:hAnsi="Cambria" w:eastAsia="宋体" w:cs="Times New Roman"/>
      <w:b/>
      <w:bCs/>
      <w:sz w:val="32"/>
      <w:szCs w:val="32"/>
    </w:rPr>
  </w:style>
  <w:style w:type="paragraph" w:customStyle="1" w:styleId="293">
    <w:name w:val="标题 31"/>
    <w:basedOn w:val="1"/>
    <w:next w:val="1"/>
    <w:link w:val="294"/>
    <w:qFormat/>
    <w:uiPriority w:val="0"/>
    <w:pPr>
      <w:keepNext/>
      <w:keepLines/>
      <w:spacing w:before="260" w:after="260" w:line="416" w:lineRule="auto"/>
      <w:outlineLvl w:val="2"/>
    </w:pPr>
    <w:rPr>
      <w:rFonts w:ascii="Calibri" w:hAnsi="Calibri"/>
      <w:b/>
      <w:bCs/>
      <w:sz w:val="32"/>
      <w:szCs w:val="32"/>
    </w:rPr>
  </w:style>
  <w:style w:type="character" w:customStyle="1" w:styleId="294">
    <w:name w:val="标题 3 Char"/>
    <w:link w:val="293"/>
    <w:qFormat/>
    <w:uiPriority w:val="0"/>
    <w:rPr>
      <w:rFonts w:ascii="Calibri" w:hAnsi="Calibri" w:eastAsia="宋体" w:cs="Times New Roman"/>
      <w:b/>
      <w:bCs/>
      <w:sz w:val="32"/>
      <w:szCs w:val="32"/>
    </w:rPr>
  </w:style>
  <w:style w:type="paragraph" w:customStyle="1" w:styleId="295">
    <w:name w:val="标题 41"/>
    <w:basedOn w:val="1"/>
    <w:next w:val="291"/>
    <w:link w:val="296"/>
    <w:qFormat/>
    <w:uiPriority w:val="0"/>
    <w:pPr>
      <w:spacing w:before="280" w:after="290" w:line="377" w:lineRule="auto"/>
      <w:outlineLvl w:val="3"/>
    </w:pPr>
    <w:rPr>
      <w:rFonts w:ascii="Arial" w:hAnsi="Arial" w:eastAsia="黑体"/>
      <w:b/>
      <w:bCs/>
      <w:sz w:val="28"/>
      <w:szCs w:val="28"/>
    </w:rPr>
  </w:style>
  <w:style w:type="character" w:customStyle="1" w:styleId="296">
    <w:name w:val="标题 4 Char"/>
    <w:link w:val="295"/>
    <w:qFormat/>
    <w:uiPriority w:val="0"/>
    <w:rPr>
      <w:rFonts w:ascii="Arial" w:hAnsi="Arial" w:eastAsia="黑体" w:cs="Times New Roman"/>
      <w:b/>
      <w:bCs/>
      <w:sz w:val="28"/>
      <w:szCs w:val="28"/>
    </w:rPr>
  </w:style>
  <w:style w:type="character" w:customStyle="1" w:styleId="297">
    <w:name w:val="默认段落字体1"/>
    <w:link w:val="1"/>
    <w:qFormat/>
    <w:uiPriority w:val="0"/>
    <w:rPr>
      <w:rFonts w:ascii="Times New Roman" w:hAnsi="Times New Roman" w:eastAsia="宋体" w:cs="Times New Roman"/>
    </w:rPr>
  </w:style>
  <w:style w:type="table" w:customStyle="1" w:styleId="298">
    <w:name w:val="普通表格1"/>
    <w:qFormat/>
    <w:uiPriority w:val="0"/>
    <w:rPr>
      <w:lang w:val="en-US" w:eastAsia="zh-CN" w:bidi="ar-SA"/>
    </w:rPr>
  </w:style>
  <w:style w:type="paragraph" w:customStyle="1" w:styleId="299">
    <w:name w:val="文档结构图1"/>
    <w:basedOn w:val="1"/>
    <w:link w:val="300"/>
    <w:qFormat/>
    <w:uiPriority w:val="0"/>
    <w:rPr>
      <w:rFonts w:ascii="宋体"/>
      <w:sz w:val="18"/>
      <w:szCs w:val="18"/>
    </w:rPr>
  </w:style>
  <w:style w:type="character" w:customStyle="1" w:styleId="300">
    <w:name w:val="文档结构图 Char"/>
    <w:link w:val="299"/>
    <w:qFormat/>
    <w:uiPriority w:val="0"/>
    <w:rPr>
      <w:rFonts w:ascii="宋体" w:hAnsi="Times New Roman" w:eastAsia="宋体" w:cs="Times New Roman"/>
      <w:sz w:val="18"/>
      <w:szCs w:val="18"/>
    </w:rPr>
  </w:style>
  <w:style w:type="paragraph" w:customStyle="1" w:styleId="301">
    <w:name w:val="引文目录标题1"/>
    <w:basedOn w:val="1"/>
    <w:next w:val="1"/>
    <w:qFormat/>
    <w:uiPriority w:val="0"/>
    <w:pPr>
      <w:spacing w:before="120"/>
    </w:pPr>
    <w:rPr>
      <w:rFonts w:ascii="Cambria" w:hAnsi="Cambria"/>
      <w:sz w:val="24"/>
    </w:rPr>
  </w:style>
  <w:style w:type="paragraph" w:customStyle="1" w:styleId="302">
    <w:name w:val="批注文字1"/>
    <w:basedOn w:val="1"/>
    <w:qFormat/>
    <w:uiPriority w:val="0"/>
    <w:pPr>
      <w:jc w:val="left"/>
    </w:pPr>
  </w:style>
  <w:style w:type="paragraph" w:customStyle="1" w:styleId="303">
    <w:name w:val="正文文本11"/>
    <w:basedOn w:val="1"/>
    <w:next w:val="1"/>
    <w:qFormat/>
    <w:uiPriority w:val="0"/>
    <w:rPr>
      <w:rFonts w:ascii="楷体_GB2312" w:hAnsi="Arial" w:eastAsia="楷体_GB2312"/>
      <w:sz w:val="28"/>
      <w:szCs w:val="28"/>
    </w:rPr>
  </w:style>
  <w:style w:type="paragraph" w:customStyle="1" w:styleId="304">
    <w:name w:val="正文文本缩进1"/>
    <w:basedOn w:val="1"/>
    <w:next w:val="1"/>
    <w:qFormat/>
    <w:uiPriority w:val="0"/>
    <w:pPr>
      <w:tabs>
        <w:tab w:val="left" w:pos="0"/>
        <w:tab w:val="left" w:pos="993"/>
        <w:tab w:val="left" w:pos="1134"/>
      </w:tabs>
      <w:spacing w:line="500" w:lineRule="exact"/>
      <w:ind w:firstLine="567"/>
    </w:pPr>
    <w:rPr>
      <w:rFonts w:ascii="宋体" w:hAnsi="Calibri"/>
      <w:sz w:val="28"/>
    </w:rPr>
  </w:style>
  <w:style w:type="paragraph" w:customStyle="1" w:styleId="305">
    <w:name w:val="纯文本1"/>
    <w:basedOn w:val="1"/>
    <w:link w:val="306"/>
    <w:qFormat/>
    <w:uiPriority w:val="0"/>
    <w:rPr>
      <w:rFonts w:ascii="宋体" w:hAnsi="Courier New"/>
      <w:sz w:val="20"/>
      <w:szCs w:val="20"/>
    </w:rPr>
  </w:style>
  <w:style w:type="character" w:customStyle="1" w:styleId="306">
    <w:name w:val="纯文本 Char"/>
    <w:link w:val="305"/>
    <w:qFormat/>
    <w:uiPriority w:val="0"/>
    <w:rPr>
      <w:rFonts w:ascii="宋体" w:hAnsi="Courier New" w:eastAsia="宋体" w:cs="Times New Roman"/>
    </w:rPr>
  </w:style>
  <w:style w:type="paragraph" w:customStyle="1" w:styleId="307">
    <w:name w:val="日期1"/>
    <w:basedOn w:val="1"/>
    <w:next w:val="1"/>
    <w:link w:val="308"/>
    <w:qFormat/>
    <w:uiPriority w:val="0"/>
    <w:rPr>
      <w:sz w:val="24"/>
      <w:szCs w:val="20"/>
    </w:rPr>
  </w:style>
  <w:style w:type="character" w:customStyle="1" w:styleId="308">
    <w:name w:val="日期 Char"/>
    <w:link w:val="307"/>
    <w:qFormat/>
    <w:uiPriority w:val="0"/>
    <w:rPr>
      <w:rFonts w:ascii="Times New Roman" w:hAnsi="Times New Roman" w:eastAsia="宋体" w:cs="Times New Roman"/>
      <w:sz w:val="24"/>
    </w:rPr>
  </w:style>
  <w:style w:type="paragraph" w:customStyle="1" w:styleId="309">
    <w:name w:val="批注框文本1"/>
    <w:basedOn w:val="1"/>
    <w:link w:val="310"/>
    <w:qFormat/>
    <w:uiPriority w:val="0"/>
    <w:rPr>
      <w:sz w:val="18"/>
      <w:szCs w:val="18"/>
    </w:rPr>
  </w:style>
  <w:style w:type="character" w:customStyle="1" w:styleId="310">
    <w:name w:val="批注框文本 Char"/>
    <w:link w:val="309"/>
    <w:qFormat/>
    <w:uiPriority w:val="0"/>
    <w:rPr>
      <w:rFonts w:ascii="Times New Roman" w:hAnsi="Times New Roman" w:eastAsia="宋体" w:cs="Times New Roman"/>
      <w:sz w:val="18"/>
      <w:szCs w:val="18"/>
    </w:rPr>
  </w:style>
  <w:style w:type="paragraph" w:customStyle="1" w:styleId="311">
    <w:name w:val="页脚1"/>
    <w:basedOn w:val="1"/>
    <w:link w:val="312"/>
    <w:qFormat/>
    <w:uiPriority w:val="0"/>
    <w:pPr>
      <w:tabs>
        <w:tab w:val="center" w:pos="4153"/>
        <w:tab w:val="right" w:pos="8306"/>
      </w:tabs>
      <w:jc w:val="left"/>
    </w:pPr>
    <w:rPr>
      <w:sz w:val="18"/>
      <w:szCs w:val="18"/>
    </w:rPr>
  </w:style>
  <w:style w:type="character" w:customStyle="1" w:styleId="312">
    <w:name w:val="页脚 Char"/>
    <w:link w:val="311"/>
    <w:qFormat/>
    <w:uiPriority w:val="0"/>
    <w:rPr>
      <w:rFonts w:ascii="Times New Roman" w:hAnsi="Times New Roman" w:eastAsia="宋体" w:cs="Times New Roman"/>
      <w:sz w:val="18"/>
      <w:szCs w:val="18"/>
    </w:rPr>
  </w:style>
  <w:style w:type="paragraph" w:customStyle="1" w:styleId="313">
    <w:name w:val="寄信人地址1"/>
    <w:basedOn w:val="1"/>
    <w:qFormat/>
    <w:uiPriority w:val="0"/>
    <w:rPr>
      <w:rFonts w:ascii="Arial" w:hAnsi="Arial"/>
    </w:rPr>
  </w:style>
  <w:style w:type="paragraph" w:customStyle="1" w:styleId="314">
    <w:name w:val="页眉1"/>
    <w:basedOn w:val="1"/>
    <w:link w:val="315"/>
    <w:qFormat/>
    <w:uiPriority w:val="0"/>
    <w:pPr>
      <w:pBdr>
        <w:bottom w:val="single" w:color="000000" w:sz="6" w:space="1"/>
      </w:pBdr>
      <w:tabs>
        <w:tab w:val="center" w:pos="4153"/>
        <w:tab w:val="right" w:pos="8306"/>
      </w:tabs>
      <w:jc w:val="center"/>
    </w:pPr>
    <w:rPr>
      <w:sz w:val="18"/>
      <w:szCs w:val="18"/>
    </w:rPr>
  </w:style>
  <w:style w:type="character" w:customStyle="1" w:styleId="315">
    <w:name w:val="页眉 Char"/>
    <w:link w:val="314"/>
    <w:qFormat/>
    <w:uiPriority w:val="0"/>
    <w:rPr>
      <w:rFonts w:ascii="Times New Roman" w:hAnsi="Times New Roman" w:eastAsia="宋体" w:cs="Times New Roman"/>
      <w:sz w:val="18"/>
      <w:szCs w:val="18"/>
    </w:rPr>
  </w:style>
  <w:style w:type="paragraph" w:customStyle="1" w:styleId="316">
    <w:name w:val="目录 11"/>
    <w:basedOn w:val="1"/>
    <w:next w:val="1"/>
    <w:qFormat/>
    <w:uiPriority w:val="0"/>
    <w:rPr>
      <w:rFonts w:ascii="Calibri" w:hAnsi="Calibri"/>
    </w:rPr>
  </w:style>
  <w:style w:type="paragraph" w:customStyle="1" w:styleId="317">
    <w:name w:val="目录 21"/>
    <w:basedOn w:val="1"/>
    <w:next w:val="1"/>
    <w:qFormat/>
    <w:uiPriority w:val="0"/>
    <w:pPr>
      <w:ind w:left="420"/>
    </w:pPr>
  </w:style>
  <w:style w:type="paragraph" w:customStyle="1" w:styleId="318">
    <w:name w:val="普通(网站)1"/>
    <w:basedOn w:val="1"/>
    <w:qFormat/>
    <w:uiPriority w:val="0"/>
    <w:pPr>
      <w:jc w:val="left"/>
    </w:pPr>
    <w:rPr>
      <w:rFonts w:ascii="Calibri" w:hAnsi="Calibri"/>
      <w:sz w:val="24"/>
      <w:szCs w:val="24"/>
    </w:rPr>
  </w:style>
  <w:style w:type="paragraph" w:customStyle="1" w:styleId="319">
    <w:name w:val="正文首行缩进1"/>
    <w:basedOn w:val="303"/>
    <w:next w:val="1"/>
    <w:qFormat/>
    <w:uiPriority w:val="0"/>
    <w:pPr>
      <w:ind w:firstLine="420"/>
    </w:pPr>
  </w:style>
  <w:style w:type="paragraph" w:customStyle="1" w:styleId="320">
    <w:name w:val="正文首行缩进 21"/>
    <w:basedOn w:val="304"/>
    <w:next w:val="319"/>
    <w:qFormat/>
    <w:uiPriority w:val="0"/>
    <w:pPr>
      <w:ind w:firstLine="420"/>
    </w:pPr>
    <w:rPr>
      <w:rFonts w:ascii="Times New Roman" w:cs="宋体"/>
      <w:szCs w:val="21"/>
    </w:rPr>
  </w:style>
  <w:style w:type="character" w:customStyle="1" w:styleId="321">
    <w:name w:val="要点1"/>
    <w:link w:val="1"/>
    <w:qFormat/>
    <w:uiPriority w:val="0"/>
    <w:rPr>
      <w:rFonts w:ascii="Times New Roman" w:hAnsi="Times New Roman" w:eastAsia="宋体" w:cs="Times New Roman"/>
      <w:b/>
    </w:rPr>
  </w:style>
  <w:style w:type="paragraph" w:customStyle="1" w:styleId="322">
    <w:name w:val="列出段落1"/>
    <w:basedOn w:val="1"/>
    <w:qFormat/>
    <w:uiPriority w:val="0"/>
    <w:pPr>
      <w:ind w:firstLine="420"/>
    </w:pPr>
  </w:style>
  <w:style w:type="paragraph" w:customStyle="1" w:styleId="323">
    <w:name w:val="普通正文"/>
    <w:basedOn w:val="324"/>
    <w:qFormat/>
    <w:uiPriority w:val="0"/>
    <w:pPr>
      <w:spacing w:before="120" w:after="120" w:line="360" w:lineRule="auto"/>
      <w:ind w:firstLine="480"/>
    </w:pPr>
    <w:rPr>
      <w:rFonts w:ascii="Arial" w:hAnsi="Arial"/>
      <w:szCs w:val="24"/>
    </w:rPr>
  </w:style>
  <w:style w:type="paragraph" w:customStyle="1" w:styleId="324">
    <w:name w:val="正文1"/>
    <w:basedOn w:val="1"/>
    <w:next w:val="325"/>
    <w:qFormat/>
    <w:uiPriority w:val="0"/>
    <w:pPr>
      <w:spacing w:line="360" w:lineRule="atLeast"/>
      <w:jc w:val="left"/>
    </w:pPr>
    <w:rPr>
      <w:rFonts w:ascii="宋体" w:hAnsi="Calibri"/>
      <w:sz w:val="24"/>
      <w:szCs w:val="20"/>
    </w:rPr>
  </w:style>
  <w:style w:type="paragraph" w:customStyle="1" w:styleId="325">
    <w:name w:val="正文文本1"/>
    <w:basedOn w:val="324"/>
    <w:next w:val="326"/>
    <w:qFormat/>
    <w:uiPriority w:val="0"/>
    <w:pPr>
      <w:spacing w:after="120"/>
    </w:pPr>
    <w:rPr>
      <w:rFonts w:ascii="Times New Roman" w:hAnsi="Times New Roman"/>
      <w:lang w:eastAsia="en-US"/>
    </w:rPr>
  </w:style>
  <w:style w:type="paragraph" w:customStyle="1" w:styleId="326">
    <w:name w:val="一级条标题"/>
    <w:basedOn w:val="327"/>
    <w:next w:val="329"/>
    <w:qFormat/>
    <w:uiPriority w:val="0"/>
    <w:pPr>
      <w:tabs>
        <w:tab w:val="left" w:pos="810"/>
        <w:tab w:val="left" w:pos="907"/>
        <w:tab w:val="left" w:pos="1265"/>
      </w:tabs>
      <w:spacing w:before="0" w:after="0"/>
      <w:ind w:left="907" w:hanging="907"/>
      <w:outlineLvl w:val="2"/>
    </w:pPr>
    <w:rPr>
      <w:rFonts w:ascii="Times New Roman" w:hAnsi="宋体" w:eastAsia="宋体"/>
      <w:sz w:val="20"/>
      <w:szCs w:val="20"/>
    </w:rPr>
  </w:style>
  <w:style w:type="paragraph" w:customStyle="1" w:styleId="327">
    <w:name w:val="章标题"/>
    <w:next w:val="328"/>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328">
    <w:name w:val="正文11"/>
    <w:next w:val="324"/>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29">
    <w:name w:val="段"/>
    <w:basedOn w:val="324"/>
    <w:next w:val="328"/>
    <w:qFormat/>
    <w:uiPriority w:val="0"/>
    <w:pPr>
      <w:widowControl/>
      <w:ind w:firstLine="200"/>
    </w:pPr>
    <w:rPr>
      <w:rFonts w:hAnsi="Times New Roman"/>
      <w:sz w:val="20"/>
    </w:rPr>
  </w:style>
  <w:style w:type="paragraph" w:customStyle="1" w:styleId="330">
    <w:name w:val="UserStyle_52"/>
    <w:basedOn w:val="1"/>
    <w:qFormat/>
    <w:uiPriority w:val="0"/>
    <w:pPr>
      <w:spacing w:line="240" w:lineRule="exact"/>
    </w:pPr>
    <w:rPr>
      <w:rFonts w:ascii="宋体" w:hAnsi="宋体"/>
      <w:lang w:val="zh-TW" w:eastAsia="zh-TW" w:bidi="zh-TW"/>
    </w:rPr>
  </w:style>
  <w:style w:type="character" w:customStyle="1" w:styleId="331">
    <w:name w:val="HtmlCite1"/>
    <w:link w:val="1"/>
    <w:qFormat/>
    <w:uiPriority w:val="0"/>
    <w:rPr>
      <w:rFonts w:ascii="Times New Roman" w:hAnsi="Times New Roman" w:eastAsia="宋体" w:cs="Times New Roman"/>
    </w:rPr>
  </w:style>
  <w:style w:type="paragraph" w:customStyle="1" w:styleId="332">
    <w:name w:val="Table Paragraph"/>
    <w:basedOn w:val="1"/>
    <w:qFormat/>
    <w:uiPriority w:val="0"/>
    <w:rPr>
      <w:rFonts w:ascii="宋体" w:hAnsi="宋体" w:cs="宋体"/>
      <w:sz w:val="22"/>
      <w:lang w:val="zh-CN" w:bidi="zh-CN"/>
    </w:rPr>
  </w:style>
  <w:style w:type="paragraph" w:customStyle="1" w:styleId="333">
    <w:name w:val="ListBullet211"/>
    <w:basedOn w:val="1"/>
    <w:qFormat/>
    <w:uiPriority w:val="0"/>
    <w:pPr>
      <w:numPr>
        <w:ilvl w:val="0"/>
        <w:numId w:val="2"/>
      </w:numPr>
    </w:pPr>
  </w:style>
  <w:style w:type="paragraph" w:customStyle="1" w:styleId="334">
    <w:name w:val="Char"/>
    <w:basedOn w:val="1"/>
    <w:qFormat/>
    <w:uiPriority w:val="0"/>
    <w:pPr>
      <w:tabs>
        <w:tab w:val="left" w:pos="360"/>
      </w:tabs>
      <w:ind w:firstLine="200"/>
    </w:pPr>
    <w:rPr>
      <w:sz w:val="28"/>
      <w:szCs w:val="30"/>
    </w:rPr>
  </w:style>
  <w:style w:type="character" w:customStyle="1" w:styleId="335">
    <w:name w:val="页脚 Char1"/>
    <w:link w:val="1"/>
    <w:qFormat/>
    <w:uiPriority w:val="0"/>
    <w:rPr>
      <w:rFonts w:ascii="Times New Roman" w:hAnsi="Times New Roman" w:eastAsia="宋体" w:cs="Times New Roman"/>
      <w:sz w:val="18"/>
      <w:szCs w:val="18"/>
    </w:rPr>
  </w:style>
  <w:style w:type="character" w:customStyle="1" w:styleId="336">
    <w:name w:val="日期 Char1"/>
    <w:link w:val="1"/>
    <w:qFormat/>
    <w:uiPriority w:val="0"/>
    <w:rPr>
      <w:rFonts w:ascii="Times New Roman" w:hAnsi="Times New Roman" w:eastAsia="宋体" w:cs="Times New Roman"/>
    </w:rPr>
  </w:style>
  <w:style w:type="character" w:customStyle="1" w:styleId="337">
    <w:name w:val="纯文本 Char1"/>
    <w:link w:val="1"/>
    <w:qFormat/>
    <w:uiPriority w:val="0"/>
    <w:rPr>
      <w:rFonts w:ascii="宋体" w:hAnsi="Courier New" w:eastAsia="宋体" w:cs="Courier New"/>
      <w:szCs w:val="21"/>
    </w:rPr>
  </w:style>
  <w:style w:type="character" w:customStyle="1" w:styleId="338">
    <w:name w:val="页眉 Char1"/>
    <w:link w:val="1"/>
    <w:qFormat/>
    <w:uiPriority w:val="0"/>
    <w:rPr>
      <w:rFonts w:ascii="Times New Roman" w:hAnsi="Times New Roman" w:eastAsia="宋体" w:cs="Times New Roman"/>
      <w:sz w:val="18"/>
      <w:szCs w:val="18"/>
    </w:rPr>
  </w:style>
  <w:style w:type="paragraph" w:customStyle="1" w:styleId="339">
    <w:name w:val="无间隔1"/>
    <w:qFormat/>
    <w:uiPriority w:val="0"/>
    <w:pPr>
      <w:widowControl w:val="0"/>
      <w:jc w:val="both"/>
    </w:pPr>
    <w:rPr>
      <w:rFonts w:hint="default" w:ascii="Times New Roman" w:hAnsi="Times New Roman" w:eastAsia="宋体" w:cs="Times New Roman"/>
      <w:sz w:val="21"/>
      <w:szCs w:val="21"/>
      <w:lang w:val="en-US" w:eastAsia="zh-CN" w:bidi="ar-SA"/>
    </w:rPr>
  </w:style>
  <w:style w:type="paragraph" w:customStyle="1" w:styleId="340">
    <w:name w:val="正文空2格  1."/>
    <w:basedOn w:val="1"/>
    <w:qFormat/>
    <w:uiPriority w:val="0"/>
    <w:pPr>
      <w:ind w:firstLine="480"/>
    </w:pPr>
    <w:rPr>
      <w:rFonts w:cs="宋体"/>
      <w:sz w:val="28"/>
      <w:szCs w:val="20"/>
    </w:rPr>
  </w:style>
  <w:style w:type="paragraph" w:customStyle="1" w:styleId="341">
    <w:name w:val="1级标题"/>
    <w:qFormat/>
    <w:uiPriority w:val="0"/>
    <w:pPr>
      <w:widowControl w:val="0"/>
      <w:spacing w:line="660" w:lineRule="exact"/>
      <w:ind w:firstLine="200"/>
      <w:outlineLvl w:val="0"/>
    </w:pPr>
    <w:rPr>
      <w:rFonts w:hint="default" w:ascii="Times New Roman" w:hAnsi="Times New Roman" w:eastAsia="方正黑体_GBK" w:cs="Times New Roman"/>
      <w:b/>
      <w:sz w:val="32"/>
      <w:szCs w:val="24"/>
      <w:lang w:val="en-US" w:eastAsia="zh-CN" w:bidi="ar-SA"/>
    </w:rPr>
  </w:style>
  <w:style w:type="character" w:customStyle="1" w:styleId="342">
    <w:name w:val="标题 1 Char Char Char"/>
    <w:link w:val="1"/>
    <w:qFormat/>
    <w:uiPriority w:val="0"/>
    <w:rPr>
      <w:rFonts w:eastAsia="宋体"/>
      <w:b/>
      <w:bCs/>
      <w:sz w:val="44"/>
      <w:szCs w:val="44"/>
      <w:lang w:val="en-US" w:eastAsia="zh-CN" w:bidi="ar-SA"/>
    </w:rPr>
  </w:style>
  <w:style w:type="paragraph" w:customStyle="1" w:styleId="343">
    <w:name w:val="Normal_18"/>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4">
    <w:name w:val="Normal_19"/>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5">
    <w:name w:val="正文_0_0"/>
    <w:basedOn w:val="346"/>
    <w:qFormat/>
    <w:uiPriority w:val="0"/>
    <w:rPr>
      <w:szCs w:val="21"/>
    </w:rPr>
  </w:style>
  <w:style w:type="paragraph" w:customStyle="1" w:styleId="346">
    <w:name w:val="正文_0"/>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47">
    <w:name w:val="Normal_20"/>
    <w:link w:val="348"/>
    <w:qFormat/>
    <w:uiPriority w:val="0"/>
    <w:pPr>
      <w:spacing w:before="120" w:after="240"/>
      <w:jc w:val="both"/>
    </w:pPr>
    <w:rPr>
      <w:rFonts w:hint="default" w:ascii="Times New Roman" w:hAnsi="Times New Roman" w:eastAsia="Calibri" w:cs="Times New Roman"/>
      <w:sz w:val="22"/>
      <w:szCs w:val="22"/>
      <w:lang w:val="en-US" w:eastAsia="en-US" w:bidi="ar-SA"/>
    </w:rPr>
  </w:style>
  <w:style w:type="character" w:customStyle="1" w:styleId="348">
    <w:name w:val="Normal_20 Char"/>
    <w:link w:val="347"/>
    <w:qFormat/>
    <w:uiPriority w:val="0"/>
    <w:rPr>
      <w:rFonts w:ascii="Times New Roman" w:hAnsi="Times New Roman" w:eastAsia="Calibri" w:cs="Times New Roman"/>
      <w:sz w:val="22"/>
      <w:szCs w:val="22"/>
      <w:lang w:val="en-US" w:eastAsia="en-US" w:bidi="ar-SA"/>
    </w:rPr>
  </w:style>
  <w:style w:type="paragraph" w:customStyle="1" w:styleId="349">
    <w:name w:val="Body text|1"/>
    <w:basedOn w:val="1"/>
    <w:qFormat/>
    <w:uiPriority w:val="0"/>
    <w:pPr>
      <w:spacing w:after="220"/>
    </w:pPr>
    <w:rPr>
      <w:rFonts w:ascii="宋体" w:hAnsi="宋体" w:cs="宋体"/>
      <w:sz w:val="22"/>
      <w:lang w:val="zh-TW" w:eastAsia="zh-TW" w:bidi="zh-TW"/>
    </w:rPr>
  </w:style>
  <w:style w:type="character" w:customStyle="1" w:styleId="350">
    <w:name w:val="font21"/>
    <w:link w:val="1"/>
    <w:qFormat/>
    <w:uiPriority w:val="0"/>
    <w:rPr>
      <w:rFonts w:hint="eastAsia" w:ascii="宋体" w:hAnsi="宋体" w:eastAsia="宋体" w:cs="宋体"/>
      <w:color w:val="000000"/>
      <w:sz w:val="20"/>
      <w:szCs w:val="20"/>
      <w:u w:val="none"/>
    </w:rPr>
  </w:style>
  <w:style w:type="character" w:customStyle="1" w:styleId="351">
    <w:name w:val="font31"/>
    <w:link w:val="1"/>
    <w:qFormat/>
    <w:uiPriority w:val="0"/>
    <w:rPr>
      <w:rFonts w:ascii="Times New Roman" w:hAnsi="Times New Roman" w:cs="Times New Roman"/>
      <w:color w:val="000000"/>
      <w:sz w:val="20"/>
      <w:szCs w:val="20"/>
      <w:u w:val="none"/>
    </w:rPr>
  </w:style>
  <w:style w:type="paragraph" w:customStyle="1" w:styleId="352">
    <w:name w:val="Style1"/>
    <w:basedOn w:val="1"/>
    <w:qFormat/>
    <w:uiPriority w:val="0"/>
    <w:pPr>
      <w:widowControl/>
      <w:tabs>
        <w:tab w:val="left" w:pos="-720"/>
      </w:tabs>
      <w:spacing w:after="120"/>
    </w:pPr>
    <w:rPr>
      <w:rFonts w:ascii="Calibri" w:hAnsi="Calibri"/>
      <w:spacing w:val="-3"/>
      <w:sz w:val="24"/>
      <w:szCs w:val="20"/>
      <w:lang w:val="en-AU" w:eastAsia="en-US"/>
    </w:rPr>
  </w:style>
  <w:style w:type="paragraph" w:customStyle="1" w:styleId="353">
    <w:name w:val="Normal_0_0"/>
    <w:qFormat/>
    <w:uiPriority w:val="0"/>
    <w:pPr>
      <w:widowControl w:val="0"/>
      <w:jc w:val="both"/>
    </w:pPr>
    <w:rPr>
      <w:rFonts w:hint="default" w:ascii="Calibri" w:hAnsi="宋体" w:eastAsia="宋体" w:cs="Times New Roman"/>
      <w:lang w:val="en-US" w:eastAsia="zh-CN" w:bidi="ar-SA"/>
    </w:rPr>
  </w:style>
  <w:style w:type="paragraph" w:customStyle="1" w:styleId="354">
    <w:name w:val="正文_1"/>
    <w:qFormat/>
    <w:uiPriority w:val="0"/>
    <w:pPr>
      <w:widowControl w:val="0"/>
      <w:jc w:val="both"/>
    </w:pPr>
    <w:rPr>
      <w:rFonts w:hint="default" w:ascii="Calibri" w:hAnsi="Calibri" w:eastAsia="宋体" w:cs="Times New Roman"/>
      <w:sz w:val="21"/>
      <w:szCs w:val="24"/>
      <w:lang w:val="en-US" w:eastAsia="zh-CN" w:bidi="ar-SA"/>
    </w:rPr>
  </w:style>
  <w:style w:type="paragraph" w:customStyle="1" w:styleId="355">
    <w:name w:val="样式 标题 2 + Times New Roman 四号 非加粗 段前: 5 磅 段后: 0 磅 行距: 固定值 20..."/>
    <w:basedOn w:val="46"/>
    <w:qFormat/>
    <w:uiPriority w:val="0"/>
    <w:pPr>
      <w:spacing w:before="100" w:after="0" w:line="400" w:lineRule="exact"/>
    </w:pPr>
    <w:rPr>
      <w:rFonts w:ascii="Times New Roman" w:hAnsi="Times New Roman" w:eastAsia="黑体" w:cs="Times New Roman"/>
      <w:sz w:val="28"/>
      <w:szCs w:val="20"/>
    </w:rPr>
  </w:style>
  <w:style w:type="paragraph" w:customStyle="1" w:styleId="356">
    <w:name w:val="首行缩进"/>
    <w:basedOn w:val="1"/>
    <w:qFormat/>
    <w:uiPriority w:val="99"/>
    <w:pPr>
      <w:ind w:firstLine="480"/>
    </w:pPr>
    <w:rPr>
      <w:rFonts w:ascii="Times New Roman" w:hAnsi="Times New Roman" w:eastAsia="宋体" w:cs="Times New Roman"/>
      <w:sz w:val="21"/>
      <w:lang w:val="zh-CN"/>
    </w:rPr>
  </w:style>
  <w:style w:type="paragraph" w:customStyle="1" w:styleId="357">
    <w:name w:val="正文_3"/>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358">
    <w:name w:val="15"/>
    <w:basedOn w:val="55"/>
    <w:link w:val="1"/>
    <w:qFormat/>
    <w:uiPriority w:val="0"/>
    <w:rPr>
      <w:rFonts w:ascii="Times New Roman" w:hAnsi="Times New Roman" w:cs="Times New Roman"/>
    </w:rPr>
  </w:style>
  <w:style w:type="character" w:customStyle="1" w:styleId="359">
    <w:name w:val="NormalCharacter1"/>
    <w:link w:val="1"/>
    <w:semiHidden/>
    <w:qFormat/>
    <w:uiPriority w:val="0"/>
  </w:style>
  <w:style w:type="character" w:customStyle="1" w:styleId="360">
    <w:name w:val="font01"/>
    <w:basedOn w:val="36"/>
    <w:qFormat/>
    <w:uiPriority w:val="0"/>
    <w:rPr>
      <w:rFonts w:hint="eastAsia" w:ascii="宋体" w:hAnsi="宋体" w:eastAsia="宋体" w:cs="宋体"/>
      <w:color w:val="000000"/>
      <w:sz w:val="22"/>
      <w:szCs w:val="22"/>
      <w:u w:val="none"/>
    </w:rPr>
  </w:style>
  <w:style w:type="paragraph" w:customStyle="1" w:styleId="361">
    <w:name w:val="标题二、"/>
    <w:basedOn w:val="1"/>
    <w:qFormat/>
    <w:uiPriority w:val="99"/>
    <w:pPr>
      <w:spacing w:line="360" w:lineRule="auto"/>
      <w:ind w:firstLine="200" w:firstLineChars="200"/>
      <w:outlineLvl w:val="2"/>
    </w:pPr>
    <w:rPr>
      <w:rFonts w:ascii="宋体" w:hAnsi="宋体"/>
      <w:b/>
    </w:rPr>
  </w:style>
  <w:style w:type="paragraph" w:customStyle="1" w:styleId="362">
    <w:name w:val="Normal_0"/>
    <w:qFormat/>
    <w:uiPriority w:val="0"/>
    <w:rPr>
      <w:rFonts w:ascii="黑体" w:hAnsi="黑体" w:eastAsia="黑体" w:cs="Times New Roman"/>
      <w:b/>
      <w:sz w:val="32"/>
      <w:szCs w:val="24"/>
      <w:lang w:val="en-US" w:eastAsia="zh-CN" w:bidi="ar-SA"/>
    </w:rPr>
  </w:style>
  <w:style w:type="paragraph" w:customStyle="1" w:styleId="363">
    <w:name w:val="Normal_6_0"/>
    <w:qFormat/>
    <w:uiPriority w:val="0"/>
    <w:rPr>
      <w:rFonts w:ascii="黑体" w:hAnsi="黑体" w:eastAsia="黑体" w:cs="Times New Roman"/>
      <w:b/>
      <w:sz w:val="32"/>
      <w:szCs w:val="24"/>
      <w:lang w:val="en-US" w:eastAsia="zh-CN" w:bidi="ar-SA"/>
    </w:rPr>
  </w:style>
  <w:style w:type="paragraph" w:customStyle="1" w:styleId="364">
    <w:name w:val="Normal_4_0"/>
    <w:qFormat/>
    <w:uiPriority w:val="0"/>
    <w:rPr>
      <w:rFonts w:ascii="黑体" w:hAnsi="黑体" w:eastAsia="黑体" w:cs="Times New Roman"/>
      <w:b/>
      <w:sz w:val="32"/>
      <w:szCs w:val="24"/>
      <w:lang w:val="en-US" w:eastAsia="zh-CN" w:bidi="ar-SA"/>
    </w:rPr>
  </w:style>
  <w:style w:type="paragraph" w:customStyle="1" w:styleId="365">
    <w:name w:val="Normal_5_0"/>
    <w:qFormat/>
    <w:uiPriority w:val="0"/>
    <w:rPr>
      <w:rFonts w:ascii="黑体" w:hAnsi="黑体" w:eastAsia="黑体" w:cs="Times New Roman"/>
      <w:b/>
      <w:sz w:val="32"/>
      <w:szCs w:val="24"/>
      <w:lang w:val="en-US" w:eastAsia="zh-CN" w:bidi="ar-SA"/>
    </w:rPr>
  </w:style>
  <w:style w:type="paragraph" w:customStyle="1" w:styleId="366">
    <w:name w:val="纯文本_0_0"/>
    <w:basedOn w:val="367"/>
    <w:qFormat/>
    <w:uiPriority w:val="0"/>
    <w:rPr>
      <w:rFonts w:ascii="宋体" w:hAnsi="Courier New"/>
      <w:szCs w:val="21"/>
    </w:rPr>
  </w:style>
  <w:style w:type="paragraph" w:customStyle="1" w:styleId="367">
    <w:name w:val="正文_7_1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8">
    <w:name w:val="正文_3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9">
    <w:name w:val="正文_4_0"/>
    <w:qFormat/>
    <w:uiPriority w:val="0"/>
    <w:pPr>
      <w:widowControl w:val="0"/>
      <w:jc w:val="both"/>
    </w:pPr>
    <w:rPr>
      <w:rFonts w:ascii="Times New Roman" w:hAnsi="Times New Roman" w:eastAsia="宋体" w:cs="Times New Roman"/>
      <w:sz w:val="21"/>
      <w:lang w:val="en-US" w:eastAsia="zh-CN" w:bidi="ar-SA"/>
    </w:rPr>
  </w:style>
  <w:style w:type="paragraph" w:customStyle="1" w:styleId="370">
    <w:name w:val="正文_4_0_0"/>
    <w:qFormat/>
    <w:uiPriority w:val="0"/>
    <w:pPr>
      <w:widowControl w:val="0"/>
      <w:jc w:val="both"/>
    </w:pPr>
    <w:rPr>
      <w:rFonts w:ascii="Times New Roman" w:hAnsi="Times New Roman" w:eastAsia="宋体" w:cs="Times New Roman"/>
      <w:sz w:val="21"/>
      <w:lang w:val="en-US" w:eastAsia="zh-CN" w:bidi="ar-SA"/>
    </w:rPr>
  </w:style>
  <w:style w:type="paragraph" w:customStyle="1" w:styleId="371">
    <w:name w:val="Normal_9_0"/>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Company>
  <Pages>71</Pages>
  <Words>8741</Words>
  <Characters>9422</Characters>
  <TotalTime>2</TotalTime>
  <ScaleCrop>false</ScaleCrop>
  <LinksUpToDate>false</LinksUpToDate>
  <CharactersWithSpaces>9542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2024-06-07T09:23:00Z</dcterms:created>
  <dc:creator>WYQ</dc:creator>
  <cp:lastModifiedBy>苹果旗舰店客服</cp:lastModifiedBy>
  <dcterms:modified xsi:type="dcterms:W3CDTF">2026-11-03T00:36:50Z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eyJoZGlkIjoiNDE1NTYwYjRhMDFhN2FhNzBjMDhhM2Q0NTQ0ZGQ0ZTQiLCJ1c2VySWQiOiIyNDUwNDc2OTEifQ==</vt:lpwstr>
  </property>
  <property fmtid="{D5CDD505-2E9C-101B-9397-08002B2CF9AE}" pid="3" name="KSOProductBuildVer">
    <vt:lpwstr>2052-12.1.0.29161</vt:lpwstr>
  </property>
  <property fmtid="{D5CDD505-2E9C-101B-9397-08002B2CF9AE}" pid="4" name="ICV">
    <vt:lpwstr>3BE3463881654157A05A2F1CA8A2AE57_13</vt:lpwstr>
  </property>
</Properties>
</file>