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A7F97">
      <w:pPr>
        <w:pStyle w:val="2"/>
        <w:keepNext w:val="0"/>
        <w:keepLines w:val="0"/>
        <w:pageBreakBefore w:val="0"/>
        <w:widowControl/>
        <w:numPr>
          <w:ilvl w:val="0"/>
          <w:numId w:val="0"/>
        </w:numPr>
        <w:kinsoku/>
        <w:wordWrap/>
        <w:overflowPunct/>
        <w:topLinePunct w:val="0"/>
        <w:autoSpaceDE/>
        <w:autoSpaceDN/>
        <w:bidi w:val="0"/>
        <w:adjustRightInd/>
        <w:snapToGrid/>
        <w:ind w:leftChars="0"/>
        <w:jc w:val="center"/>
        <w:textAlignment w:val="auto"/>
        <w:outlineLvl w:val="0"/>
        <w:rPr>
          <w:rFonts w:hint="default" w:ascii="宋体" w:hAnsi="宋体" w:eastAsia="宋体" w:cs="宋体"/>
          <w:b/>
          <w:bCs/>
          <w:color w:val="auto"/>
          <w:lang w:val="en-US" w:eastAsia="zh-CN"/>
        </w:rPr>
      </w:pPr>
      <w:r>
        <w:rPr>
          <w:rFonts w:hint="eastAsia" w:ascii="宋体" w:hAnsi="宋体" w:eastAsia="宋体" w:cs="宋体"/>
          <w:b/>
          <w:bCs/>
          <w:color w:val="auto"/>
        </w:rPr>
        <w:t>AI算力租赁服务</w:t>
      </w:r>
      <w:r>
        <w:rPr>
          <w:rFonts w:hint="eastAsia" w:ascii="宋体" w:hAnsi="宋体" w:eastAsia="宋体" w:cs="宋体"/>
          <w:b/>
          <w:bCs/>
          <w:color w:val="auto"/>
          <w:lang w:val="en-US" w:eastAsia="zh-CN"/>
        </w:rPr>
        <w:t>需求</w:t>
      </w:r>
    </w:p>
    <w:p w14:paraId="31C5960A">
      <w:pPr>
        <w:pStyle w:val="2"/>
        <w:keepNext w:val="0"/>
        <w:keepLines w:val="0"/>
        <w:pageBreakBefore w:val="0"/>
        <w:widowControl/>
        <w:numPr>
          <w:ilvl w:val="0"/>
          <w:numId w:val="0"/>
        </w:numPr>
        <w:kinsoku/>
        <w:wordWrap/>
        <w:overflowPunct/>
        <w:topLinePunct w:val="0"/>
        <w:autoSpaceDE/>
        <w:autoSpaceDN/>
        <w:bidi w:val="0"/>
        <w:adjustRightInd/>
        <w:snapToGrid/>
        <w:ind w:leftChars="0"/>
        <w:textAlignment w:val="auto"/>
        <w:outlineLvl w:val="0"/>
        <w:rPr>
          <w:rFonts w:hint="eastAsia" w:ascii="宋体" w:hAnsi="宋体" w:eastAsia="宋体" w:cs="宋体"/>
          <w:b/>
          <w:bCs/>
          <w:color w:val="auto"/>
        </w:rPr>
      </w:pPr>
      <w:r>
        <w:rPr>
          <w:rFonts w:hint="eastAsia" w:ascii="宋体" w:hAnsi="宋体" w:eastAsia="宋体" w:cs="宋体"/>
          <w:b/>
          <w:bCs/>
          <w:color w:val="auto"/>
          <w:lang w:val="en-US" w:eastAsia="zh-CN"/>
        </w:rPr>
        <w:t>一、</w:t>
      </w:r>
      <w:r>
        <w:rPr>
          <w:rFonts w:hint="eastAsia" w:ascii="宋体" w:hAnsi="宋体" w:eastAsia="宋体" w:cs="宋体"/>
          <w:b/>
          <w:bCs/>
          <w:color w:val="auto"/>
        </w:rPr>
        <w:t>项目概况</w:t>
      </w:r>
    </w:p>
    <w:p w14:paraId="1421CE06">
      <w:pPr>
        <w:pStyle w:val="3"/>
        <w:keepNext w:val="0"/>
        <w:keepLines w:val="0"/>
        <w:pageBreakBefore w:val="0"/>
        <w:widowControl/>
        <w:numPr>
          <w:ilvl w:val="1"/>
          <w:numId w:val="1"/>
        </w:numPr>
        <w:kinsoku/>
        <w:wordWrap/>
        <w:overflowPunct/>
        <w:topLinePunct w:val="0"/>
        <w:autoSpaceDE/>
        <w:autoSpaceDN/>
        <w:bidi w:val="0"/>
        <w:adjustRightInd/>
        <w:snapToGrid/>
        <w:ind w:left="567" w:leftChars="0" w:hanging="567" w:firstLineChars="0"/>
        <w:textAlignment w:val="auto"/>
        <w:outlineLvl w:val="1"/>
      </w:pPr>
      <w:r>
        <w:rPr>
          <w:rFonts w:hint="eastAsia" w:ascii="宋体" w:hAnsi="宋体" w:eastAsia="宋体"/>
          <w:b/>
          <w:bCs/>
          <w:color w:val="auto"/>
          <w:sz w:val="28"/>
          <w:szCs w:val="28"/>
        </w:rPr>
        <w:t>项目背景</w:t>
      </w:r>
    </w:p>
    <w:p w14:paraId="5E0411D7">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随着人工智能技术在医疗健康领域的深度应用，AI辅助诊断、AI智能导诊、智能预问诊、医疗大模型推理等应用已成为医院数字化转型的重要方向，对医院算力基础设施提出了更高的要求。医院已围绕智慧医院服务分级标准开展智慧服务体系建设，AI应用正逐步落地，但现有IT基础设施以通用计算为主，缺乏专用的GPU算力资源，难以支撑深度学习模型的推理与训练需求。</w:t>
      </w:r>
    </w:p>
    <w:p w14:paraId="2FDBCCA2">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为支撑医院AI应用落地，满足AI推理等场景的算力需求，本项目拟采用AI算力服务租赁模式，由服务提供方在</w:t>
      </w:r>
      <w:r>
        <w:rPr>
          <w:rFonts w:hint="eastAsia" w:ascii="宋体" w:hAnsi="宋体" w:eastAsia="宋体" w:cs="宋体"/>
          <w:sz w:val="24"/>
          <w:szCs w:val="24"/>
          <w:lang w:val="en-US" w:eastAsia="zh-CN"/>
        </w:rPr>
        <w:t>算力</w:t>
      </w:r>
      <w:r>
        <w:rPr>
          <w:rFonts w:hint="eastAsia" w:ascii="宋体" w:hAnsi="宋体" w:eastAsia="宋体" w:cs="宋体"/>
          <w:sz w:val="24"/>
          <w:szCs w:val="24"/>
        </w:rPr>
        <w:t>数据中心机房部署AI算力服务器，以服务化方式向医院提供GPU算力资源。医院无需一次性投入设备采购与机房建设成本，即可获得稳定、高效、可扩展的AI算力服务，助力医院智慧医疗建设与数字化转型。</w:t>
      </w:r>
    </w:p>
    <w:p w14:paraId="742872A4">
      <w:pPr>
        <w:pStyle w:val="3"/>
        <w:keepNext w:val="0"/>
        <w:keepLines w:val="0"/>
        <w:pageBreakBefore w:val="0"/>
        <w:widowControl/>
        <w:numPr>
          <w:ilvl w:val="1"/>
          <w:numId w:val="1"/>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建设需求</w:t>
      </w:r>
    </w:p>
    <w:p w14:paraId="1A2780A3">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本项目采用算力服务租赁模式，在</w:t>
      </w:r>
      <w:r>
        <w:rPr>
          <w:rFonts w:hint="eastAsia" w:ascii="宋体" w:hAnsi="宋体" w:eastAsia="宋体" w:cs="宋体"/>
          <w:sz w:val="24"/>
          <w:szCs w:val="24"/>
          <w:lang w:eastAsia="zh-CN"/>
        </w:rPr>
        <w:t>算力数据中心机房</w:t>
      </w:r>
      <w:r>
        <w:rPr>
          <w:rFonts w:hint="eastAsia" w:ascii="宋体" w:hAnsi="宋体" w:eastAsia="宋体" w:cs="宋体"/>
          <w:sz w:val="24"/>
          <w:szCs w:val="24"/>
        </w:rPr>
        <w:t>部署AI算力服务器，向医院提供AI算力租赁服务（服务期3年）。算力服务器配置高性能处理器、大容量高速内存、NVMe全闪存存储及8张GPU加速卡，满足AI大模型推理、AI辅助诊疗、医学影像智能分析等应用场景的算力需求，并具备高可靠性与平滑扩容能力。</w:t>
      </w:r>
    </w:p>
    <w:p w14:paraId="410E2D20">
      <w:pPr>
        <w:pStyle w:val="3"/>
        <w:keepNext w:val="0"/>
        <w:keepLines w:val="0"/>
        <w:pageBreakBefore w:val="0"/>
        <w:widowControl/>
        <w:numPr>
          <w:ilvl w:val="1"/>
          <w:numId w:val="1"/>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建设目标</w:t>
      </w:r>
    </w:p>
    <w:p w14:paraId="0FD89953">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本项目坚持“统一规划、分步实施”的原则，以算力服务租赁方式建成安全可靠、性能领先、弹性可扩展的AI算力服务体系，具体目标如下：</w:t>
      </w:r>
    </w:p>
    <w:p w14:paraId="03217644">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rPr>
        <w:t>提供满足AI推理、训练等场景所需的GPU算力，支撑医院AI应用稳定运行；</w:t>
      </w:r>
    </w:p>
    <w:p w14:paraId="6E1729B3">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（2）依托</w:t>
      </w:r>
      <w:r>
        <w:rPr>
          <w:rFonts w:hint="eastAsia" w:ascii="宋体" w:hAnsi="宋体" w:eastAsia="宋体" w:cs="宋体"/>
          <w:sz w:val="24"/>
          <w:szCs w:val="24"/>
          <w:lang w:val="en-US" w:eastAsia="zh-CN"/>
        </w:rPr>
        <w:t>算力</w:t>
      </w:r>
      <w:r>
        <w:rPr>
          <w:rFonts w:hint="eastAsia" w:ascii="宋体" w:hAnsi="宋体" w:eastAsia="宋体" w:cs="宋体"/>
          <w:sz w:val="24"/>
          <w:szCs w:val="24"/>
          <w:lang w:eastAsia="zh-CN"/>
        </w:rPr>
        <w:t>数据中心机房基础设施与7×24小时运维保障体系，保障算力服务高可用、故障快速恢复；</w:t>
      </w:r>
    </w:p>
    <w:p w14:paraId="6FCD6EF3">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（3）采用服务化租赁模式，减少医院一次性投入，支持算力资源按需平滑扩容，满足医院AI业务持续发展需要。</w:t>
      </w:r>
    </w:p>
    <w:p w14:paraId="594BF7E1">
      <w:pPr>
        <w:pStyle w:val="3"/>
        <w:keepNext w:val="0"/>
        <w:keepLines w:val="0"/>
        <w:pageBreakBefore w:val="0"/>
        <w:widowControl/>
        <w:numPr>
          <w:ilvl w:val="1"/>
          <w:numId w:val="1"/>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参考标准</w:t>
      </w:r>
    </w:p>
    <w:p w14:paraId="75ED192A">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《全国医院信息化建设标准与规范》（GB50464-2008）；</w:t>
      </w:r>
    </w:p>
    <w:p w14:paraId="5A2AC444">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《江苏省三级综合医院评审标准实施细则(2019版)》；</w:t>
      </w:r>
    </w:p>
    <w:p w14:paraId="65A2C94D">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《电子病历系统应用水平分级评价管理办法及评价标准》；</w:t>
      </w:r>
    </w:p>
    <w:p w14:paraId="5206549A">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《医院信息互联互通标准化成熟度测评方案(2020年版)》；</w:t>
      </w:r>
    </w:p>
    <w:p w14:paraId="66C6F5A0">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《医院智慧服务分级评估标准体系(试行)》；</w:t>
      </w:r>
    </w:p>
    <w:p w14:paraId="157E0A2D">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《网络安全等级保护设计技术要求（GB/T25070-2019）》；</w:t>
      </w:r>
    </w:p>
    <w:p w14:paraId="0475FF68">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《信息安全技术 网络安全等级保护基本要求（GB/T22239-2019）》。</w:t>
      </w:r>
    </w:p>
    <w:p w14:paraId="79FD6D5F">
      <w:pPr>
        <w:rPr>
          <w:rFonts w:hint="eastAsia" w:ascii="宋体" w:hAnsi="宋体" w:eastAsia="宋体" w:cs="宋体"/>
          <w:b/>
          <w:bCs/>
          <w:color w:val="auto"/>
        </w:rPr>
      </w:pPr>
      <w:r>
        <w:rPr>
          <w:rFonts w:hint="eastAsia" w:ascii="宋体" w:hAnsi="宋体" w:eastAsia="宋体" w:cs="宋体"/>
          <w:b/>
          <w:bCs/>
          <w:color w:val="auto"/>
        </w:rPr>
        <w:br w:type="page"/>
      </w:r>
    </w:p>
    <w:p w14:paraId="10183227">
      <w:pPr>
        <w:pStyle w:val="2"/>
        <w:keepNext w:val="0"/>
        <w:keepLines w:val="0"/>
        <w:pageBreakBefore w:val="0"/>
        <w:widowControl/>
        <w:numPr>
          <w:ilvl w:val="0"/>
          <w:numId w:val="0"/>
        </w:numPr>
        <w:kinsoku/>
        <w:wordWrap/>
        <w:overflowPunct/>
        <w:topLinePunct w:val="0"/>
        <w:autoSpaceDE/>
        <w:autoSpaceDN/>
        <w:bidi w:val="0"/>
        <w:adjustRightInd/>
        <w:snapToGrid/>
        <w:spacing w:before="181" w:beforeLines="50" w:after="181" w:afterLines="50"/>
        <w:ind w:leftChars="0"/>
        <w:textAlignment w:val="auto"/>
        <w:outlineLvl w:val="0"/>
        <w:rPr>
          <w:rFonts w:hint="eastAsia" w:ascii="宋体" w:hAnsi="宋体" w:eastAsia="宋体" w:cs="宋体"/>
          <w:b/>
          <w:bCs/>
          <w:color w:val="auto"/>
        </w:rPr>
      </w:pPr>
      <w:r>
        <w:rPr>
          <w:rFonts w:hint="eastAsia" w:ascii="宋体" w:hAnsi="宋体" w:eastAsia="宋体" w:cs="宋体"/>
          <w:b/>
          <w:bCs/>
          <w:color w:val="auto"/>
          <w:lang w:val="en-US" w:eastAsia="zh-CN"/>
        </w:rPr>
        <w:t>二、</w:t>
      </w:r>
      <w:r>
        <w:rPr>
          <w:rFonts w:hint="eastAsia" w:ascii="宋体" w:hAnsi="宋体" w:eastAsia="宋体" w:cs="宋体"/>
          <w:b/>
          <w:bCs/>
          <w:color w:val="auto"/>
        </w:rPr>
        <w:t>产品清单</w:t>
      </w:r>
    </w:p>
    <w:tbl>
      <w:tblPr>
        <w:tblStyle w:val="24"/>
        <w:tblW w:w="4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12"/>
        <w:gridCol w:w="2045"/>
        <w:gridCol w:w="4389"/>
      </w:tblGrid>
      <w:tr w14:paraId="7301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21" w:type="pct"/>
            <w:shd w:val="clear" w:color="auto" w:fill="auto"/>
            <w:vAlign w:val="center"/>
          </w:tcPr>
          <w:p w14:paraId="04FCD17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sz w:val="24"/>
                <w:szCs w:val="24"/>
              </w:rPr>
            </w:pPr>
            <w:r>
              <w:rPr>
                <w:rFonts w:hint="eastAsia" w:ascii="宋体" w:hAnsi="宋体" w:eastAsia="宋体" w:cs="宋体"/>
                <w:b/>
                <w:bCs/>
                <w:sz w:val="24"/>
                <w:szCs w:val="24"/>
              </w:rPr>
              <w:t>序号</w:t>
            </w:r>
          </w:p>
        </w:tc>
        <w:tc>
          <w:tcPr>
            <w:tcW w:w="1392" w:type="pct"/>
            <w:shd w:val="clear" w:color="auto" w:fill="auto"/>
            <w:vAlign w:val="center"/>
          </w:tcPr>
          <w:p w14:paraId="2078DD7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sz w:val="24"/>
                <w:szCs w:val="24"/>
              </w:rPr>
            </w:pPr>
            <w:r>
              <w:rPr>
                <w:rFonts w:hint="eastAsia" w:ascii="宋体" w:hAnsi="宋体" w:eastAsia="宋体" w:cs="宋体"/>
                <w:b/>
                <w:bCs/>
                <w:sz w:val="24"/>
                <w:szCs w:val="24"/>
              </w:rPr>
              <w:t>名称</w:t>
            </w:r>
          </w:p>
        </w:tc>
        <w:tc>
          <w:tcPr>
            <w:tcW w:w="2986" w:type="pct"/>
            <w:shd w:val="clear" w:color="auto" w:fill="auto"/>
            <w:vAlign w:val="center"/>
          </w:tcPr>
          <w:p w14:paraId="3DDE39E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sz w:val="24"/>
                <w:szCs w:val="24"/>
              </w:rPr>
            </w:pPr>
            <w:r>
              <w:rPr>
                <w:rFonts w:hint="eastAsia" w:ascii="宋体" w:hAnsi="宋体" w:eastAsia="宋体" w:cs="宋体"/>
                <w:b/>
                <w:bCs/>
                <w:sz w:val="24"/>
                <w:szCs w:val="24"/>
              </w:rPr>
              <w:t>作用</w:t>
            </w:r>
          </w:p>
        </w:tc>
      </w:tr>
      <w:tr w14:paraId="5DBF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shd w:val="clear" w:color="auto" w:fill="auto"/>
            <w:vAlign w:val="center"/>
          </w:tcPr>
          <w:p w14:paraId="7BA60F3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92" w:type="pct"/>
            <w:shd w:val="clear" w:color="auto" w:fill="auto"/>
            <w:vAlign w:val="center"/>
          </w:tcPr>
          <w:p w14:paraId="31EF096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sz w:val="24"/>
                <w:szCs w:val="24"/>
              </w:rPr>
            </w:pPr>
            <w:r>
              <w:rPr>
                <w:rFonts w:hint="eastAsia" w:ascii="宋体" w:hAnsi="宋体" w:eastAsia="宋体" w:cs="宋体"/>
                <w:sz w:val="24"/>
                <w:szCs w:val="24"/>
              </w:rPr>
              <w:t>AI算力租赁服务</w:t>
            </w:r>
          </w:p>
        </w:tc>
        <w:tc>
          <w:tcPr>
            <w:tcW w:w="2986" w:type="pct"/>
            <w:shd w:val="clear" w:color="auto" w:fill="auto"/>
            <w:vAlign w:val="center"/>
          </w:tcPr>
          <w:p w14:paraId="6AD8866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sz w:val="24"/>
                <w:szCs w:val="24"/>
              </w:rPr>
            </w:pPr>
            <w:r>
              <w:rPr>
                <w:rFonts w:hint="eastAsia" w:ascii="宋体" w:hAnsi="宋体" w:eastAsia="宋体" w:cs="宋体"/>
                <w:sz w:val="24"/>
                <w:szCs w:val="24"/>
              </w:rPr>
              <w:t>为医院AI应用提供GPU算力支撑（服务含</w:t>
            </w:r>
            <w:r>
              <w:rPr>
                <w:rFonts w:hint="eastAsia" w:ascii="宋体" w:hAnsi="宋体" w:eastAsia="宋体" w:cs="宋体"/>
                <w:sz w:val="24"/>
                <w:szCs w:val="24"/>
                <w:lang w:val="en-US" w:eastAsia="zh-CN"/>
              </w:rPr>
              <w:t>专线线路、</w:t>
            </w:r>
            <w:r>
              <w:rPr>
                <w:rFonts w:hint="eastAsia" w:ascii="宋体" w:hAnsi="宋体" w:eastAsia="宋体" w:cs="宋体"/>
                <w:sz w:val="24"/>
                <w:szCs w:val="24"/>
              </w:rPr>
              <w:t>机房、电费、</w:t>
            </w:r>
            <w:r>
              <w:rPr>
                <w:rFonts w:hint="eastAsia" w:ascii="宋体" w:hAnsi="宋体" w:eastAsia="宋体" w:cs="宋体"/>
                <w:sz w:val="24"/>
                <w:szCs w:val="24"/>
                <w:lang w:val="en-US" w:eastAsia="zh-CN"/>
              </w:rPr>
              <w:t>模型</w:t>
            </w:r>
            <w:r>
              <w:rPr>
                <w:rFonts w:hint="eastAsia" w:ascii="宋体" w:hAnsi="宋体" w:eastAsia="宋体" w:cs="宋体"/>
                <w:sz w:val="24"/>
                <w:szCs w:val="24"/>
                <w:lang w:eastAsia="zh-CN"/>
              </w:rPr>
              <w:t>、</w:t>
            </w:r>
            <w:r>
              <w:rPr>
                <w:rFonts w:hint="eastAsia" w:ascii="宋体" w:hAnsi="宋体" w:eastAsia="宋体" w:cs="宋体"/>
                <w:sz w:val="24"/>
                <w:szCs w:val="24"/>
              </w:rPr>
              <w:t>网络及运维）</w:t>
            </w:r>
          </w:p>
        </w:tc>
      </w:tr>
    </w:tbl>
    <w:p w14:paraId="4E51E74E">
      <w:pPr>
        <w:rPr>
          <w:rFonts w:hint="eastAsia" w:ascii="宋体" w:hAnsi="宋体" w:eastAsia="宋体" w:cs="宋体"/>
          <w:b/>
          <w:bCs/>
          <w:color w:val="auto"/>
        </w:rPr>
      </w:pPr>
      <w:r>
        <w:rPr>
          <w:rFonts w:hint="eastAsia" w:ascii="宋体" w:hAnsi="宋体" w:eastAsia="宋体" w:cs="宋体"/>
          <w:b/>
          <w:bCs/>
          <w:color w:val="auto"/>
        </w:rPr>
        <w:br w:type="page"/>
      </w:r>
    </w:p>
    <w:p w14:paraId="6DCFA7F9">
      <w:pPr>
        <w:pStyle w:val="2"/>
        <w:keepNext w:val="0"/>
        <w:keepLines w:val="0"/>
        <w:pageBreakBefore w:val="0"/>
        <w:widowControl/>
        <w:numPr>
          <w:ilvl w:val="0"/>
          <w:numId w:val="0"/>
        </w:numPr>
        <w:kinsoku/>
        <w:wordWrap/>
        <w:overflowPunct/>
        <w:topLinePunct w:val="0"/>
        <w:autoSpaceDE/>
        <w:autoSpaceDN/>
        <w:bidi w:val="0"/>
        <w:adjustRightInd/>
        <w:snapToGrid/>
        <w:spacing w:before="181" w:beforeLines="50" w:after="181" w:afterLines="50"/>
        <w:ind w:leftChars="0"/>
        <w:textAlignment w:val="auto"/>
        <w:outlineLvl w:val="0"/>
        <w:rPr>
          <w:rFonts w:hint="eastAsia"/>
        </w:rPr>
      </w:pPr>
      <w:r>
        <w:rPr>
          <w:rFonts w:hint="eastAsia" w:ascii="宋体" w:hAnsi="宋体" w:eastAsia="宋体" w:cs="宋体"/>
          <w:b/>
          <w:bCs/>
          <w:color w:val="auto"/>
          <w:lang w:val="en-US" w:eastAsia="zh-CN"/>
        </w:rPr>
        <w:t>三、</w:t>
      </w:r>
      <w:r>
        <w:rPr>
          <w:rFonts w:hint="eastAsia" w:ascii="宋体" w:hAnsi="宋体" w:eastAsia="宋体" w:cs="宋体"/>
          <w:b/>
          <w:bCs/>
          <w:color w:val="auto"/>
        </w:rPr>
        <w:t>AI算力租赁服务</w:t>
      </w:r>
    </w:p>
    <w:p w14:paraId="11D34401">
      <w:pPr>
        <w:pStyle w:val="2"/>
        <w:keepNext w:val="0"/>
        <w:keepLines w:val="0"/>
        <w:pageBreakBefore w:val="0"/>
        <w:widowControl/>
        <w:numPr>
          <w:ilvl w:val="0"/>
          <w:numId w:val="0"/>
        </w:numPr>
        <w:kinsoku/>
        <w:wordWrap/>
        <w:overflowPunct/>
        <w:topLinePunct w:val="0"/>
        <w:autoSpaceDE/>
        <w:autoSpaceDN/>
        <w:bidi w:val="0"/>
        <w:adjustRightInd/>
        <w:snapToGrid/>
        <w:spacing w:before="181" w:beforeLines="50" w:after="181" w:afterLines="50"/>
        <w:ind w:leftChars="0"/>
        <w:textAlignment w:val="auto"/>
        <w:outlineLvl w:val="0"/>
        <w:rPr>
          <w:rFonts w:hint="eastAsia"/>
        </w:rPr>
      </w:pPr>
      <w:r>
        <w:rPr>
          <w:rFonts w:hint="eastAsia" w:ascii="宋体" w:hAnsi="宋体" w:eastAsia="宋体" w:cs="宋体"/>
          <w:b/>
          <w:bCs/>
          <w:color w:val="auto"/>
          <w:lang w:val="en-US" w:eastAsia="zh-CN"/>
        </w:rPr>
        <w:t>3.1</w:t>
      </w:r>
      <w:r>
        <w:rPr>
          <w:rFonts w:hint="eastAsia" w:ascii="宋体" w:hAnsi="宋体" w:eastAsia="宋体"/>
          <w:b/>
          <w:bCs/>
          <w:color w:val="auto"/>
          <w:sz w:val="28"/>
          <w:szCs w:val="28"/>
          <w:lang w:val="en-US" w:eastAsia="zh-CN"/>
        </w:rPr>
        <w:t>功能与性能要求</w:t>
      </w:r>
    </w:p>
    <w:tbl>
      <w:tblPr>
        <w:tblStyle w:val="24"/>
        <w:tblW w:w="5186" w:type="pct"/>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7542"/>
      </w:tblGrid>
      <w:tr w14:paraId="705B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67" w:type="pct"/>
            <w:shd w:val="clear" w:color="auto" w:fill="D8D8D8"/>
            <w:noWrap w:val="0"/>
            <w:vAlign w:val="center"/>
          </w:tcPr>
          <w:p w14:paraId="5C63FF2B">
            <w:pPr>
              <w:spacing w:line="400" w:lineRule="exact"/>
              <w:jc w:val="center"/>
              <w:rPr>
                <w:rFonts w:hint="eastAsia" w:ascii="宋体" w:hAnsi="宋体" w:cs="宋体"/>
                <w:b/>
                <w:szCs w:val="21"/>
              </w:rPr>
            </w:pPr>
            <w:r>
              <w:rPr>
                <w:rFonts w:hint="eastAsia" w:ascii="宋体" w:hAnsi="宋体" w:cs="宋体"/>
                <w:b/>
                <w:szCs w:val="21"/>
              </w:rPr>
              <w:t>技术指标</w:t>
            </w:r>
          </w:p>
        </w:tc>
        <w:tc>
          <w:tcPr>
            <w:tcW w:w="4032" w:type="pct"/>
            <w:shd w:val="clear" w:color="auto" w:fill="D8D8D8"/>
            <w:noWrap w:val="0"/>
            <w:vAlign w:val="center"/>
          </w:tcPr>
          <w:p w14:paraId="575AF808">
            <w:pPr>
              <w:spacing w:line="400" w:lineRule="exact"/>
              <w:jc w:val="center"/>
              <w:rPr>
                <w:rFonts w:hint="eastAsia" w:ascii="宋体" w:hAnsi="宋体" w:cs="宋体"/>
                <w:b/>
                <w:szCs w:val="21"/>
              </w:rPr>
            </w:pPr>
            <w:r>
              <w:rPr>
                <w:rFonts w:hint="eastAsia" w:ascii="宋体" w:hAnsi="宋体" w:cs="宋体"/>
                <w:b/>
                <w:szCs w:val="21"/>
              </w:rPr>
              <w:t>指标要求</w:t>
            </w:r>
          </w:p>
        </w:tc>
      </w:tr>
      <w:tr w14:paraId="64D2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7" w:type="pct"/>
            <w:noWrap w:val="0"/>
            <w:vAlign w:val="center"/>
          </w:tcPr>
          <w:p w14:paraId="54DF5182">
            <w:pPr>
              <w:spacing w:line="400" w:lineRule="exact"/>
              <w:jc w:val="center"/>
              <w:rPr>
                <w:rFonts w:hint="eastAsia" w:ascii="宋体" w:hAnsi="宋体" w:cs="宋体"/>
                <w:szCs w:val="21"/>
              </w:rPr>
            </w:pPr>
            <w:r>
              <w:rPr>
                <w:rFonts w:hint="eastAsia" w:ascii="宋体" w:hAnsi="宋体" w:cs="宋体"/>
                <w:szCs w:val="21"/>
              </w:rPr>
              <w:t>期限及频率</w:t>
            </w:r>
          </w:p>
        </w:tc>
        <w:tc>
          <w:tcPr>
            <w:tcW w:w="4032" w:type="pct"/>
            <w:noWrap w:val="0"/>
            <w:vAlign w:val="center"/>
          </w:tcPr>
          <w:p w14:paraId="12CBF559">
            <w:pPr>
              <w:spacing w:line="400" w:lineRule="exact"/>
              <w:rPr>
                <w:rFonts w:hint="default" w:ascii="宋体" w:hAnsi="宋体" w:eastAsia="宋体" w:cs="宋体"/>
                <w:szCs w:val="21"/>
                <w:lang w:val="en-US" w:eastAsia="zh-CN"/>
              </w:rPr>
            </w:pPr>
            <w:r>
              <w:rPr>
                <w:rFonts w:hint="eastAsia" w:ascii="宋体" w:hAnsi="宋体" w:cs="宋体"/>
                <w:szCs w:val="21"/>
              </w:rPr>
              <w:t>1年</w:t>
            </w:r>
            <w:r>
              <w:rPr>
                <w:rFonts w:hint="eastAsia" w:ascii="宋体" w:hAnsi="宋体" w:eastAsia="宋体" w:cs="宋体"/>
                <w:szCs w:val="21"/>
                <w:lang w:eastAsia="zh-CN"/>
              </w:rPr>
              <w:t>，</w:t>
            </w:r>
            <w:r>
              <w:rPr>
                <w:rFonts w:hint="eastAsia" w:ascii="宋体" w:hAnsi="宋体" w:eastAsia="宋体" w:cs="宋体"/>
                <w:szCs w:val="21"/>
                <w:lang w:val="en-US" w:eastAsia="zh-CN"/>
              </w:rPr>
              <w:t>7*24小时</w:t>
            </w:r>
          </w:p>
        </w:tc>
      </w:tr>
      <w:tr w14:paraId="6047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7" w:type="pct"/>
            <w:noWrap w:val="0"/>
            <w:vAlign w:val="center"/>
          </w:tcPr>
          <w:p w14:paraId="53E67555">
            <w:pPr>
              <w:spacing w:line="400" w:lineRule="exact"/>
              <w:jc w:val="center"/>
              <w:rPr>
                <w:rFonts w:hint="default" w:ascii="宋体" w:hAnsi="宋体" w:eastAsia="微软雅黑" w:cs="宋体"/>
                <w:szCs w:val="21"/>
                <w:lang w:val="en-US" w:eastAsia="zh-CN"/>
              </w:rPr>
            </w:pPr>
            <w:r>
              <w:rPr>
                <w:rFonts w:hint="eastAsia" w:ascii="宋体" w:hAnsi="宋体" w:cs="宋体"/>
                <w:szCs w:val="21"/>
              </w:rPr>
              <w:t>服务</w:t>
            </w:r>
            <w:r>
              <w:rPr>
                <w:rFonts w:hint="eastAsia" w:ascii="宋体" w:hAnsi="宋体" w:cs="宋体"/>
                <w:szCs w:val="21"/>
                <w:lang w:val="en-US" w:eastAsia="zh-CN"/>
              </w:rPr>
              <w:t>内容</w:t>
            </w:r>
          </w:p>
        </w:tc>
        <w:tc>
          <w:tcPr>
            <w:tcW w:w="4032" w:type="pct"/>
            <w:noWrap w:val="0"/>
            <w:vAlign w:val="center"/>
          </w:tcPr>
          <w:p w14:paraId="0CB57A1C">
            <w:pPr>
              <w:spacing w:line="400" w:lineRule="exact"/>
              <w:rPr>
                <w:rFonts w:hint="default" w:ascii="宋体" w:hAnsi="宋体" w:eastAsia="宋体" w:cs="宋体"/>
                <w:szCs w:val="21"/>
                <w:lang w:val="en-US" w:eastAsia="zh-CN"/>
              </w:rPr>
            </w:pPr>
            <w:r>
              <w:rPr>
                <w:rFonts w:hint="eastAsia" w:ascii="宋体" w:hAnsi="宋体" w:eastAsia="宋体" w:cs="宋体"/>
                <w:sz w:val="24"/>
                <w:szCs w:val="24"/>
              </w:rPr>
              <w:t>为医院AI应用提供GPU算力支撑（服务含</w:t>
            </w:r>
            <w:r>
              <w:rPr>
                <w:rFonts w:hint="eastAsia" w:ascii="宋体" w:hAnsi="宋体" w:eastAsia="宋体" w:cs="宋体"/>
                <w:sz w:val="24"/>
                <w:szCs w:val="24"/>
                <w:lang w:val="en-US" w:eastAsia="zh-CN"/>
              </w:rPr>
              <w:t>专线线路、</w:t>
            </w:r>
            <w:r>
              <w:rPr>
                <w:rFonts w:hint="eastAsia" w:ascii="宋体" w:hAnsi="宋体" w:eastAsia="宋体" w:cs="宋体"/>
                <w:sz w:val="24"/>
                <w:szCs w:val="24"/>
              </w:rPr>
              <w:t>机房、电费、</w:t>
            </w:r>
            <w:r>
              <w:rPr>
                <w:rFonts w:hint="eastAsia" w:ascii="宋体" w:hAnsi="宋体" w:eastAsia="宋体" w:cs="宋体"/>
                <w:sz w:val="24"/>
                <w:szCs w:val="24"/>
                <w:lang w:val="en-US" w:eastAsia="zh-CN"/>
              </w:rPr>
              <w:t>模型</w:t>
            </w:r>
            <w:r>
              <w:rPr>
                <w:rFonts w:hint="eastAsia" w:ascii="宋体" w:hAnsi="宋体" w:eastAsia="宋体" w:cs="宋体"/>
                <w:sz w:val="24"/>
                <w:szCs w:val="24"/>
                <w:lang w:eastAsia="zh-CN"/>
              </w:rPr>
              <w:t>、</w:t>
            </w:r>
            <w:r>
              <w:rPr>
                <w:rFonts w:hint="eastAsia" w:ascii="宋体" w:hAnsi="宋体" w:eastAsia="宋体" w:cs="宋体"/>
                <w:sz w:val="24"/>
                <w:szCs w:val="24"/>
              </w:rPr>
              <w:t>网络及运维）</w:t>
            </w:r>
          </w:p>
        </w:tc>
      </w:tr>
      <w:tr w14:paraId="2F59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7" w:type="pct"/>
            <w:noWrap w:val="0"/>
            <w:vAlign w:val="center"/>
          </w:tcPr>
          <w:p w14:paraId="79115016">
            <w:pPr>
              <w:spacing w:line="40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服务能力要求</w:t>
            </w:r>
          </w:p>
        </w:tc>
        <w:tc>
          <w:tcPr>
            <w:tcW w:w="4032" w:type="pct"/>
            <w:noWrap w:val="0"/>
            <w:vAlign w:val="center"/>
          </w:tcPr>
          <w:p w14:paraId="7B841EDA">
            <w:pPr>
              <w:spacing w:line="400" w:lineRule="exact"/>
              <w:rPr>
                <w:rFonts w:hint="default" w:ascii="宋体" w:hAnsi="宋体" w:eastAsia="宋体" w:cs="宋体"/>
                <w:szCs w:val="21"/>
                <w:lang w:val="en-US" w:eastAsia="zh-CN"/>
              </w:rPr>
            </w:pPr>
            <w:r>
              <w:rPr>
                <w:rFonts w:hint="eastAsia" w:ascii="宋体" w:hAnsi="宋体" w:eastAsia="宋体" w:cs="宋体"/>
                <w:szCs w:val="21"/>
                <w:lang w:val="en-US" w:eastAsia="zh-CN"/>
              </w:rPr>
              <w:t>1.通用智算服务能力要求：CPU:2*32核，主频≥2.1GHz，GPU:≥8张，单卡算力 ≥ 330 TFLOPS（FP16 稠密算力，Tensor Core 加速），显存 ≥ 24GB（GDDR6X），显存带宽 ≥ 1000 GB/s，卡间互联：≥400GB/s，内存：≥512GB，磁盘：2*480GB SATA SSD,2*3.84TB NVMe SSD；</w:t>
            </w:r>
          </w:p>
          <w:p w14:paraId="4F766B5A">
            <w:pPr>
              <w:spacing w:line="400" w:lineRule="exact"/>
              <w:rPr>
                <w:rFonts w:hint="default" w:ascii="宋体" w:hAnsi="宋体" w:eastAsia="宋体" w:cs="宋体"/>
                <w:szCs w:val="21"/>
                <w:lang w:val="en-US" w:eastAsia="zh-CN"/>
              </w:rPr>
            </w:pPr>
            <w:r>
              <w:rPr>
                <w:rFonts w:hint="eastAsia" w:ascii="宋体" w:hAnsi="宋体" w:eastAsia="宋体" w:cs="宋体"/>
                <w:szCs w:val="21"/>
                <w:lang w:val="en-US" w:eastAsia="zh-CN"/>
              </w:rPr>
              <w:t>2.自主可控智算服务能力要求：CPU:4*48核，主频≥2.6GHz，NPU:≥8张，单卡算力≥376TFLOPS(FP16稠密算力),显存 ≥64GB,显存带宽≥400GB/s，卡间互联：≥100GB/s，内存：≥1024GB，磁盘：2*480GB SATA，SSD,2*3.2TB NVMe SSD；</w:t>
            </w:r>
          </w:p>
          <w:p w14:paraId="7FC227D5">
            <w:pPr>
              <w:spacing w:line="400" w:lineRule="exact"/>
              <w:rPr>
                <w:rFonts w:hint="default" w:ascii="宋体" w:hAnsi="宋体" w:eastAsia="宋体" w:cs="宋体"/>
                <w:szCs w:val="21"/>
                <w:lang w:val="en-US" w:eastAsia="zh-CN"/>
              </w:rPr>
            </w:pPr>
            <w:r>
              <w:rPr>
                <w:rFonts w:hint="eastAsia" w:ascii="宋体" w:hAnsi="宋体" w:eastAsia="宋体" w:cs="宋体"/>
                <w:szCs w:val="21"/>
                <w:lang w:val="en-US" w:eastAsia="zh-CN"/>
              </w:rPr>
              <w:t>3.其他：1张Raid卡*2；网卡：（1）双口GbE,双口25GbE网卡*2，（2）8*200G单口，1块100G双口，1块25G双口智能网卡，1块四口GE；</w:t>
            </w:r>
          </w:p>
          <w:p w14:paraId="5F1E3443">
            <w:pPr>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4.GPU算力满足主流深度学习框架（如PyTorch、TensorFlow、CANN等）推理与训练场景的运行需求；</w:t>
            </w:r>
          </w:p>
          <w:p w14:paraId="297EC76F">
            <w:pPr>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5.支持主流AI推理引擎及主流运行环境，可承载医疗大模型推理、AI辅助诊疗等应用部署；</w:t>
            </w:r>
          </w:p>
          <w:p w14:paraId="7ABC0288">
            <w:pPr>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6.支持网络冗余及高速互联，满足大规模数据吞吐与多卡并行计算的带宽要求；</w:t>
            </w:r>
          </w:p>
          <w:p w14:paraId="2C314CD7">
            <w:pPr>
              <w:spacing w:line="400" w:lineRule="exact"/>
              <w:rPr>
                <w:rFonts w:hint="default" w:ascii="宋体" w:hAnsi="宋体" w:eastAsia="宋体" w:cs="宋体"/>
                <w:szCs w:val="21"/>
                <w:lang w:val="en-US" w:eastAsia="zh-CN"/>
              </w:rPr>
            </w:pPr>
            <w:r>
              <w:rPr>
                <w:rFonts w:hint="eastAsia" w:ascii="宋体" w:hAnsi="宋体" w:eastAsia="宋体" w:cs="宋体"/>
                <w:szCs w:val="21"/>
                <w:lang w:val="en-US" w:eastAsia="zh-CN"/>
              </w:rPr>
              <w:t>7.提供独立远程管理端口及带外管理功能，支持硬件健康监控、远程开关机与故障告警，便于设备运维管理；</w:t>
            </w:r>
          </w:p>
          <w:p w14:paraId="797B541D">
            <w:pPr>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8.算力服务支持GPU算力资源池化与按需分配，满足医疗大模型推理、AI辅助诊疗、医学影像智能分析等应用场景的并发算力需求，并支持医院业务增长时的平滑扩展与弹性调度；</w:t>
            </w:r>
          </w:p>
          <w:p w14:paraId="50F36465">
            <w:pPr>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9.算力服务提供标准化、开放的应用接口与部署环境，支持与医院现有信息系统、医疗大模型平台及第三方AI应用集成对接，兼容主流容器化与分布式部署架构；</w:t>
            </w:r>
          </w:p>
          <w:p w14:paraId="77B59981">
            <w:pPr>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10.算力服务具备高可用运行能力，支持主备容错与故障自动切换，单点故障不影响整体业务连续性，保障医疗AI应用稳定运行；</w:t>
            </w:r>
          </w:p>
          <w:p w14:paraId="0AE94114">
            <w:pPr>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11.服务期内，服务提供方提供算力资源运行状态监控、性能监测与日志留存等运维服务，并定期向医院反馈资源利用率与服务运行状况；</w:t>
            </w:r>
          </w:p>
          <w:p w14:paraId="75B699FC">
            <w:pPr>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12.算力服务的数据传输、存储及处理过程符合医疗数据安全与个人信息保护要求，支持数据加密、访问控制与租户隔离，确保医院数据与服务环境安全合规；</w:t>
            </w:r>
          </w:p>
          <w:p w14:paraId="088647D0">
            <w:pPr>
              <w:spacing w:line="400" w:lineRule="exact"/>
              <w:rPr>
                <w:rFonts w:hint="default"/>
                <w:lang w:val="en-US" w:eastAsia="zh-CN"/>
              </w:rPr>
            </w:pPr>
            <w:r>
              <w:rPr>
                <w:rFonts w:hint="eastAsia" w:ascii="宋体" w:hAnsi="宋体" w:eastAsia="宋体" w:cs="宋体"/>
                <w:szCs w:val="21"/>
                <w:lang w:val="en-US" w:eastAsia="zh-CN"/>
              </w:rPr>
              <w:t>13.算力服务支持与医院网络互联互通，提供足够的网络带宽与低时延保障，满足医疗AI应用的实时性与数据吞吐要求。</w:t>
            </w:r>
          </w:p>
        </w:tc>
      </w:tr>
    </w:tbl>
    <w:p w14:paraId="56B8974E">
      <w:pPr>
        <w:rPr>
          <w:rFonts w:hint="eastAsia" w:ascii="宋体" w:hAnsi="宋体" w:eastAsia="宋体" w:cs="宋体"/>
          <w:b/>
          <w:bCs/>
          <w:color w:val="auto"/>
        </w:rPr>
      </w:pPr>
    </w:p>
    <w:p w14:paraId="26CFF02C">
      <w:pPr>
        <w:pStyle w:val="3"/>
        <w:keepNext w:val="0"/>
        <w:keepLines w:val="0"/>
        <w:pageBreakBefore w:val="0"/>
        <w:widowControl/>
        <w:numPr>
          <w:ilvl w:val="0"/>
          <w:numId w:val="0"/>
        </w:numPr>
        <w:kinsoku/>
        <w:wordWrap/>
        <w:overflowPunct/>
        <w:topLinePunct w:val="0"/>
        <w:autoSpaceDE/>
        <w:autoSpaceDN/>
        <w:bidi w:val="0"/>
        <w:adjustRightInd/>
        <w:snapToGrid/>
        <w:ind w:left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3.2可靠性要求</w:t>
      </w:r>
    </w:p>
    <w:p w14:paraId="647FBA84">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rPr>
        <w:t>电源采用2+2冗余配置，支持热插拔，单电源故障不影响整机运行；</w:t>
      </w:r>
    </w:p>
    <w:p w14:paraId="0D8338A8">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rPr>
        <w:t>系统盘采用RAID1镜像保护，防止单盘故障导致系统不可用；</w:t>
      </w:r>
    </w:p>
    <w:p w14:paraId="30530EA0">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rPr>
        <w:t>RAID卡支持RAID 0、1、5等阵列策略，保障数据盘可靠性与读写性能；</w:t>
      </w:r>
    </w:p>
    <w:p w14:paraId="58426742">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rPr>
        <w:t>整机具备良好的散热设计与冗余散热机制，适应机房7×24小时连续运行环境。</w:t>
      </w:r>
    </w:p>
    <w:p w14:paraId="5CDAD506">
      <w:pPr>
        <w:pStyle w:val="3"/>
        <w:keepNext w:val="0"/>
        <w:keepLines w:val="0"/>
        <w:pageBreakBefore w:val="0"/>
        <w:widowControl/>
        <w:numPr>
          <w:ilvl w:val="0"/>
          <w:numId w:val="0"/>
        </w:numPr>
        <w:kinsoku/>
        <w:wordWrap/>
        <w:overflowPunct/>
        <w:topLinePunct w:val="0"/>
        <w:autoSpaceDE/>
        <w:autoSpaceDN/>
        <w:bidi w:val="0"/>
        <w:adjustRightInd/>
        <w:snapToGrid/>
        <w:ind w:left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3.3兼容性要求</w:t>
      </w:r>
    </w:p>
    <w:p w14:paraId="16A7DAAF">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rPr>
        <w:t>支持主流服务器操作系统及国产主流操作系统（如麒麟等）安装运行；</w:t>
      </w:r>
    </w:p>
    <w:p w14:paraId="77A60139">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rPr>
        <w:t>支持主流AI软件栈与容器化部署方式，便于后续AI平台化统一管理；</w:t>
      </w:r>
    </w:p>
    <w:p w14:paraId="2DE4C095">
      <w:pPr>
        <w:pStyle w:val="31"/>
        <w:keepNext w:val="0"/>
        <w:keepLines w:val="0"/>
        <w:pageBreakBefore w:val="0"/>
        <w:widowControl/>
        <w:numPr>
          <w:ilvl w:val="0"/>
          <w:numId w:val="0"/>
        </w:numPr>
        <w:kinsoku/>
        <w:wordWrap/>
        <w:overflowPunct/>
        <w:topLinePunct w:val="0"/>
        <w:autoSpaceDE/>
        <w:autoSpaceDN/>
        <w:bidi w:val="0"/>
        <w:adjustRightInd/>
        <w:snapToGrid/>
        <w:ind w:left="360" w:leftChars="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rPr>
        <w:t>硬件平台具备标准化接口，支持与医院现有网络及运维体系无缝对接。</w:t>
      </w:r>
    </w:p>
    <w:p w14:paraId="04293160">
      <w:pPr>
        <w:rPr>
          <w:rFonts w:hint="eastAsia" w:ascii="宋体" w:hAnsi="宋体" w:eastAsia="宋体" w:cs="宋体"/>
          <w:b/>
          <w:bCs/>
          <w:color w:val="auto"/>
        </w:rPr>
      </w:pPr>
      <w:r>
        <w:rPr>
          <w:rFonts w:hint="eastAsia" w:ascii="宋体" w:hAnsi="宋体" w:eastAsia="宋体" w:cs="宋体"/>
          <w:b/>
          <w:bCs/>
          <w:color w:val="auto"/>
        </w:rPr>
        <w:br w:type="page"/>
      </w:r>
    </w:p>
    <w:p w14:paraId="2E2183EE">
      <w:pPr>
        <w:pStyle w:val="2"/>
        <w:keepNext w:val="0"/>
        <w:keepLines w:val="0"/>
        <w:pageBreakBefore w:val="0"/>
        <w:widowControl/>
        <w:numPr>
          <w:ilvl w:val="0"/>
          <w:numId w:val="0"/>
        </w:numPr>
        <w:kinsoku/>
        <w:wordWrap/>
        <w:overflowPunct/>
        <w:topLinePunct w:val="0"/>
        <w:autoSpaceDE/>
        <w:autoSpaceDN/>
        <w:bidi w:val="0"/>
        <w:adjustRightInd/>
        <w:snapToGrid/>
        <w:spacing w:before="181" w:beforeLines="50" w:after="181" w:afterLines="50"/>
        <w:ind w:leftChars="0"/>
        <w:textAlignment w:val="auto"/>
        <w:outlineLvl w:val="0"/>
        <w:rPr>
          <w:rFonts w:hint="eastAsia" w:ascii="宋体" w:hAnsi="宋体" w:eastAsia="宋体" w:cs="宋体"/>
          <w:b/>
          <w:bCs/>
          <w:color w:val="auto"/>
        </w:rPr>
      </w:pPr>
      <w:r>
        <w:rPr>
          <w:rFonts w:hint="eastAsia" w:ascii="宋体" w:hAnsi="宋体" w:eastAsia="宋体" w:cs="宋体"/>
          <w:b/>
          <w:bCs/>
          <w:color w:val="auto"/>
          <w:lang w:val="en-US" w:eastAsia="zh-CN"/>
        </w:rPr>
        <w:t>四、</w:t>
      </w:r>
      <w:r>
        <w:rPr>
          <w:rFonts w:hint="eastAsia" w:ascii="宋体" w:hAnsi="宋体" w:eastAsia="宋体" w:cs="宋体"/>
          <w:b/>
          <w:bCs/>
          <w:color w:val="auto"/>
        </w:rPr>
        <w:t>商务要求</w:t>
      </w:r>
    </w:p>
    <w:p w14:paraId="59D8C501">
      <w:pPr>
        <w:pStyle w:val="3"/>
        <w:keepNext w:val="0"/>
        <w:keepLines w:val="0"/>
        <w:pageBreakBefore w:val="0"/>
        <w:widowControl/>
        <w:numPr>
          <w:ilvl w:val="1"/>
          <w:numId w:val="2"/>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服务期限与计费要求</w:t>
      </w:r>
    </w:p>
    <w:p w14:paraId="48ADB75F">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（1）服务期限：</w:t>
      </w:r>
      <w:r>
        <w:rPr>
          <w:rFonts w:hint="eastAsia" w:ascii="宋体" w:hAnsi="宋体" w:eastAsia="宋体" w:cs="宋体"/>
          <w:sz w:val="24"/>
          <w:szCs w:val="24"/>
          <w:lang w:val="en-US" w:eastAsia="zh-CN"/>
        </w:rPr>
        <w:t>1</w:t>
      </w:r>
      <w:r>
        <w:rPr>
          <w:rFonts w:hint="eastAsia" w:ascii="宋体" w:hAnsi="宋体" w:eastAsia="宋体" w:cs="宋体"/>
          <w:sz w:val="24"/>
          <w:szCs w:val="24"/>
        </w:rPr>
        <w:t>年，服务期内按年支付服务费；</w:t>
      </w:r>
    </w:p>
    <w:p w14:paraId="57286845">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（2）服务费为含税价格，包含算力服务器及配套设备、机房（机柜、电力、制冷）、</w:t>
      </w:r>
      <w:r>
        <w:rPr>
          <w:rFonts w:hint="eastAsia" w:ascii="宋体" w:hAnsi="宋体" w:eastAsia="宋体" w:cs="宋体"/>
          <w:sz w:val="24"/>
          <w:szCs w:val="24"/>
          <w:lang w:val="en-US" w:eastAsia="zh-CN"/>
        </w:rPr>
        <w:t>专线</w:t>
      </w:r>
      <w:r>
        <w:rPr>
          <w:rFonts w:hint="eastAsia" w:ascii="宋体" w:hAnsi="宋体" w:eastAsia="宋体" w:cs="宋体"/>
          <w:sz w:val="24"/>
          <w:szCs w:val="24"/>
        </w:rPr>
        <w:t>网络带宽、安装调试、运维保障等全部费用，服务提供方不得以任何理由增加收费或减少服务内容；</w:t>
      </w:r>
    </w:p>
    <w:p w14:paraId="22DD2442">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（3）服务提供方的任何错漏、优惠、竞争性报价不得作为减轻责任、减少服务、增加收费、降低服务质量的理由。</w:t>
      </w:r>
    </w:p>
    <w:p w14:paraId="7DAE2687">
      <w:pPr>
        <w:pStyle w:val="3"/>
        <w:keepNext w:val="0"/>
        <w:keepLines w:val="0"/>
        <w:pageBreakBefore w:val="0"/>
        <w:widowControl/>
        <w:numPr>
          <w:ilvl w:val="1"/>
          <w:numId w:val="2"/>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服务开通与实施要求</w:t>
      </w:r>
    </w:p>
    <w:p w14:paraId="2E751F3E">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（1）服务提供方应在合同签订后完成算力服务器在</w:t>
      </w:r>
      <w:r>
        <w:rPr>
          <w:rFonts w:hint="eastAsia" w:ascii="宋体" w:hAnsi="宋体" w:eastAsia="宋体" w:cs="宋体"/>
          <w:sz w:val="24"/>
          <w:szCs w:val="24"/>
          <w:lang w:eastAsia="zh-CN"/>
        </w:rPr>
        <w:t>算力数据中心机房</w:t>
      </w:r>
      <w:r>
        <w:rPr>
          <w:rFonts w:hint="eastAsia" w:ascii="宋体" w:hAnsi="宋体" w:eastAsia="宋体" w:cs="宋体"/>
          <w:sz w:val="24"/>
          <w:szCs w:val="24"/>
        </w:rPr>
        <w:t>的部署、环境搭建与联调，实现与医院网络的互联互通，确保不影响医院现有业务系统正常运行；</w:t>
      </w:r>
    </w:p>
    <w:p w14:paraId="07EA58F9">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（2）服务提供方需提供服务实施与运维团队人员配置情况，并在算力服务开通之日起，指派专业的项目负责人负责服务的组织、协调与保障。</w:t>
      </w:r>
    </w:p>
    <w:p w14:paraId="6ABF0812">
      <w:pPr>
        <w:pStyle w:val="3"/>
        <w:keepNext w:val="0"/>
        <w:keepLines w:val="0"/>
        <w:pageBreakBefore w:val="0"/>
        <w:widowControl/>
        <w:numPr>
          <w:ilvl w:val="1"/>
          <w:numId w:val="2"/>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服务验收要求</w:t>
      </w:r>
    </w:p>
    <w:p w14:paraId="075E4A3F">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1）算力服务完成部署调试后，采购人将组织履约验收，以采购人或实际使用人（最终用户）的验收报告为最终验收结果。验收时发现未完成部署调试的、算力性能不达标的，采购人有权要求服务提供方立即补充整改；</w:t>
      </w:r>
    </w:p>
    <w:p w14:paraId="7D948664">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2）算力性能指标及服务可用性指标达到本需求书要求后，可进行最终验收。终验中发现由于服务质量等造成某些指标达不到要求，允许服务提供方进行修复，在全部达到要求时，双方签署验收文件，服务期自验收合格之日起计算；</w:t>
      </w:r>
    </w:p>
    <w:p w14:paraId="202CE085">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（3）服务提供方应根据项目需求提供验收材料，列明算力配置清单、服务性能指标清单供验收核对，并按采购人要求提供完备的验收资料。</w:t>
      </w:r>
    </w:p>
    <w:p w14:paraId="30938A88">
      <w:pPr>
        <w:pStyle w:val="3"/>
        <w:keepNext w:val="0"/>
        <w:keepLines w:val="0"/>
        <w:pageBreakBefore w:val="0"/>
        <w:widowControl/>
        <w:numPr>
          <w:ilvl w:val="1"/>
          <w:numId w:val="2"/>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服务保障与产权要求</w:t>
      </w:r>
    </w:p>
    <w:p w14:paraId="5991F5C4">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（1）服务期内，算力服务可用率不低于99.9%（按自然月统计）；提供7×24小时故障受理，故障响应时间不超过2小时，严重故障恢复时间不超过24小时；硬件故障提供备件或备机替换；</w:t>
      </w:r>
    </w:p>
    <w:p w14:paraId="43975E1C">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（2）服务期内，设备发生任何非人为故障，由服务提供方负责维修或更换，并提供及时有效的解决方案；服务提供方负责设备的运行维护、故障处理、备件更换及安全加固；</w:t>
      </w:r>
    </w:p>
    <w:p w14:paraId="03AB854F">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（3）服务期内，对采购人提出的合理服务要求，服务提供方须及时提供电话、网络及远程支持，并定期提供巡检与回访服务；服务可用率低于约定标准时，服务提供方应按未达标时长相应减免服务费用；</w:t>
      </w:r>
    </w:p>
    <w:p w14:paraId="5B19BAA0">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（4）服务期内，算力设备产权归服务提供方所有，医院享有服务使用权；服务期满后，双方协商设备续租或回收处置，处置方式另行约定。</w:t>
      </w:r>
    </w:p>
    <w:p w14:paraId="0B8130F1">
      <w:pPr>
        <w:pStyle w:val="3"/>
        <w:keepNext w:val="0"/>
        <w:keepLines w:val="0"/>
        <w:pageBreakBefore w:val="0"/>
        <w:widowControl/>
        <w:numPr>
          <w:ilvl w:val="1"/>
          <w:numId w:val="2"/>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人员要求</w:t>
      </w:r>
    </w:p>
    <w:p w14:paraId="280EFEA8">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（1）项目经理：1人，具有5年以上信息化项目管理工作经验；</w:t>
      </w:r>
    </w:p>
    <w:p w14:paraId="580D9B55">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（2）技术负责人：1人，具有5年以上信息化技术管理工作经验；</w:t>
      </w:r>
    </w:p>
    <w:p w14:paraId="31599EC4">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（3）运维服务人员：不少于2人，具有算力设备运维服务经验；</w:t>
      </w:r>
    </w:p>
    <w:p w14:paraId="5B498A7A">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（4）服务团队所有人员必须为服务提供方正式工作人员，未经采购人同意，人员不得更换。</w:t>
      </w:r>
    </w:p>
    <w:p w14:paraId="0A78D444">
      <w:pPr>
        <w:pStyle w:val="3"/>
        <w:keepNext w:val="0"/>
        <w:keepLines w:val="0"/>
        <w:pageBreakBefore w:val="0"/>
        <w:widowControl/>
        <w:numPr>
          <w:ilvl w:val="1"/>
          <w:numId w:val="2"/>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知识产权及保密要求</w:t>
      </w:r>
    </w:p>
    <w:p w14:paraId="4058A088">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1）本次项目中如涉及独立开发的专利以及其他知识产权归属独立开发方各自所有。本次项目中如涉及共同开发的专利及其他知识产权归各开发方共同拥有，未经其他方事先书面同意，任何一方不得就该等共有知识产权进行转让或作出排他性授权。</w:t>
      </w:r>
    </w:p>
    <w:p w14:paraId="075DD924">
      <w:pPr>
        <w:keepNext w:val="0"/>
        <w:keepLines w:val="0"/>
        <w:pageBreakBefore w:val="0"/>
        <w:widowControl/>
        <w:kinsoku/>
        <w:wordWrap/>
        <w:overflowPunct/>
        <w:topLinePunct w:val="0"/>
        <w:autoSpaceDE/>
        <w:autoSpaceDN/>
        <w:bidi w:val="0"/>
        <w:adjustRightInd/>
        <w:snapToGrid/>
        <w:ind w:firstLine="480"/>
        <w:textAlignment w:val="auto"/>
        <w:rPr>
          <w:rFonts w:hint="eastAsia" w:ascii="宋体" w:hAnsi="宋体" w:eastAsia="宋体" w:cs="宋体"/>
          <w:sz w:val="24"/>
          <w:szCs w:val="24"/>
        </w:rPr>
      </w:pPr>
      <w:r>
        <w:rPr>
          <w:rFonts w:hint="eastAsia" w:ascii="宋体" w:hAnsi="宋体" w:eastAsia="宋体" w:cs="宋体"/>
          <w:sz w:val="24"/>
          <w:szCs w:val="24"/>
        </w:rPr>
        <w:t>（2）服务提供方及工作人员应对本项目提供的有关专业数据、医院运作方式及患者数据采取保密措施，不得向第三方披露、复制，不得将数据用于本项目以外用途；服务提供方应遵守网络安全等级保护</w:t>
      </w:r>
      <w:bookmarkStart w:id="0" w:name="_GoBack"/>
      <w:bookmarkEnd w:id="0"/>
      <w:r>
        <w:rPr>
          <w:rFonts w:hint="eastAsia" w:ascii="宋体" w:hAnsi="宋体" w:eastAsia="宋体" w:cs="宋体"/>
          <w:sz w:val="24"/>
          <w:szCs w:val="24"/>
        </w:rPr>
        <w:t>、数据安全及个人信息保护相关规定，确保医疗数据存储、传输、处理全过程安全合规。如有违反本保密规定的，应承担相应法律责任。</w:t>
      </w:r>
    </w:p>
    <w:p w14:paraId="1854541C">
      <w:pPr>
        <w:pStyle w:val="3"/>
        <w:keepNext w:val="0"/>
        <w:keepLines w:val="0"/>
        <w:pageBreakBefore w:val="0"/>
        <w:widowControl/>
        <w:numPr>
          <w:ilvl w:val="1"/>
          <w:numId w:val="2"/>
        </w:numPr>
        <w:kinsoku/>
        <w:wordWrap/>
        <w:overflowPunct/>
        <w:topLinePunct w:val="0"/>
        <w:autoSpaceDE/>
        <w:autoSpaceDN/>
        <w:bidi w:val="0"/>
        <w:adjustRightInd/>
        <w:snapToGrid/>
        <w:ind w:left="567" w:leftChars="0" w:hanging="567" w:firstLineChars="0"/>
        <w:textAlignment w:val="auto"/>
        <w:outlineLvl w:val="1"/>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交付成果要求</w:t>
      </w:r>
    </w:p>
    <w:p w14:paraId="516768C8">
      <w:pPr>
        <w:keepNext w:val="0"/>
        <w:keepLines w:val="0"/>
        <w:pageBreakBefore w:val="0"/>
        <w:widowControl/>
        <w:kinsoku/>
        <w:wordWrap/>
        <w:overflowPunct/>
        <w:topLinePunct w:val="0"/>
        <w:autoSpaceDE/>
        <w:autoSpaceDN/>
        <w:bidi w:val="0"/>
        <w:adjustRightInd/>
        <w:snapToGrid/>
        <w:ind w:firstLine="480"/>
        <w:textAlignment w:val="auto"/>
      </w:pPr>
      <w:r>
        <w:rPr>
          <w:rFonts w:hint="eastAsia" w:ascii="宋体" w:hAnsi="宋体" w:eastAsia="宋体" w:cs="宋体"/>
          <w:sz w:val="24"/>
          <w:szCs w:val="24"/>
        </w:rPr>
        <w:t>服务提供方在服务实施各阶段及时提交服务成果，包括但不限于：服务实施方案、算力配置清单、网络接入方案、算力部署方案、服务验收报告、运维服务记录（含故障处理记录）、设备运行说明等。</w:t>
      </w:r>
    </w:p>
    <w:sectPr>
      <w:headerReference r:id="rId5" w:type="default"/>
      <w:footerReference r:id="rId6" w:type="default"/>
      <w:pgSz w:w="11906" w:h="16838"/>
      <w:pgMar w:top="1440" w:right="1440" w:bottom="1440" w:left="1440" w:header="708" w:footer="708" w:gutter="0"/>
      <w:pgBorders>
        <w:top w:val="none" w:sz="0" w:space="0"/>
        <w:left w:val="none" w:sz="0" w:space="0"/>
        <w:bottom w:val="none" w:sz="0" w:space="0"/>
        <w:right w:val="none" w:sz="0" w:space="0"/>
      </w:pgBorders>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9E04F">
    <w:pPr>
      <w:jc w:val="center"/>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059AA4E">
                          <w:pPr>
                            <w:pStyle w:val="15"/>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7059AA4E">
                    <w:pPr>
                      <w:pStyle w:val="15"/>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CC041">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4"/>
      <w:numFmt w:val="decimal"/>
      <w:lvlText w:val="%1."/>
      <w:lvlJc w:val="left"/>
      <w:pPr>
        <w:ind w:left="425" w:hanging="425"/>
      </w:pPr>
      <w:rPr>
        <w:rFonts w:hint="default"/>
      </w:rPr>
    </w:lvl>
    <w:lvl w:ilvl="1" w:tentative="0">
      <w:start w:val="1"/>
      <w:numFmt w:val="decimal"/>
      <w:lvlText w:val="%1.%2."/>
      <w:lvlJc w:val="left"/>
      <w:pPr>
        <w:ind w:left="567" w:hanging="567"/>
      </w:pPr>
      <w:rPr>
        <w:rFonts w:hint="default"/>
        <w:color w:val="auto"/>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00000003"/>
    <w:multiLevelType w:val="multilevel"/>
    <w:tmpl w:val="00000003"/>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color w:val="auto"/>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
  <w:rsids>
    <w:rsidRoot w:val="00000000"/>
    <w:rsid w:val="0D6179AF"/>
    <w:rsid w:val="108D0D73"/>
    <w:rsid w:val="17E56F60"/>
    <w:rsid w:val="286308D9"/>
    <w:rsid w:val="475E71AE"/>
    <w:rsid w:val="4EDE7C89"/>
    <w:rsid w:val="55DA440D"/>
    <w:rsid w:val="6F002323"/>
    <w:rsid w:val="7B6C34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qFormat="1" w:unhideWhenUsed="0" w:uiPriority="99"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微软雅黑" w:hAnsi="微软雅黑" w:eastAsia="微软雅黑" w:cs="微软雅黑"/>
      <w:sz w:val="24"/>
      <w:szCs w:val="24"/>
    </w:rPr>
  </w:style>
  <w:style w:type="paragraph" w:styleId="2">
    <w:name w:val="heading 1"/>
    <w:basedOn w:val="1"/>
    <w:next w:val="1"/>
    <w:qFormat/>
    <w:uiPriority w:val="0"/>
    <w:rPr>
      <w:color w:val="2E74B5"/>
      <w:sz w:val="32"/>
      <w:szCs w:val="32"/>
    </w:rPr>
  </w:style>
  <w:style w:type="paragraph" w:styleId="3">
    <w:name w:val="heading 2"/>
    <w:basedOn w:val="1"/>
    <w:next w:val="1"/>
    <w:qFormat/>
    <w:uiPriority w:val="0"/>
    <w:rPr>
      <w:color w:val="2E74B5"/>
      <w:sz w:val="26"/>
      <w:szCs w:val="26"/>
    </w:rPr>
  </w:style>
  <w:style w:type="paragraph" w:styleId="4">
    <w:name w:val="heading 3"/>
    <w:basedOn w:val="1"/>
    <w:next w:val="1"/>
    <w:qFormat/>
    <w:uiPriority w:val="0"/>
    <w:rPr>
      <w:color w:val="1F4D78"/>
      <w:sz w:val="24"/>
      <w:szCs w:val="24"/>
    </w:rPr>
  </w:style>
  <w:style w:type="paragraph" w:styleId="5">
    <w:name w:val="heading 4"/>
    <w:basedOn w:val="1"/>
    <w:next w:val="1"/>
    <w:qFormat/>
    <w:uiPriority w:val="0"/>
    <w:rPr>
      <w:i/>
      <w:iCs/>
      <w:color w:val="2E74B5"/>
    </w:rPr>
  </w:style>
  <w:style w:type="paragraph" w:styleId="6">
    <w:name w:val="heading 5"/>
    <w:basedOn w:val="1"/>
    <w:next w:val="1"/>
    <w:qFormat/>
    <w:uiPriority w:val="0"/>
    <w:rPr>
      <w:color w:val="2E74B5"/>
    </w:rPr>
  </w:style>
  <w:style w:type="paragraph" w:styleId="7">
    <w:name w:val="heading 6"/>
    <w:basedOn w:val="1"/>
    <w:next w:val="1"/>
    <w:qFormat/>
    <w:uiPriority w:val="0"/>
    <w:rPr>
      <w:color w:val="1F4D78"/>
    </w:rPr>
  </w:style>
  <w:style w:type="character" w:default="1" w:styleId="26">
    <w:name w:val="Default Paragraph Font"/>
    <w:qFormat/>
    <w:uiPriority w:val="0"/>
  </w:style>
  <w:style w:type="table" w:default="1" w:styleId="24">
    <w:name w:val="Normal Table"/>
    <w:qFormat/>
    <w:uiPriority w:val="99"/>
    <w:tblPr>
      <w:tblCellMar>
        <w:top w:w="0" w:type="dxa"/>
        <w:left w:w="108" w:type="dxa"/>
        <w:bottom w:w="0" w:type="dxa"/>
        <w:right w:w="108" w:type="dxa"/>
      </w:tblCellMar>
    </w:tblPr>
  </w:style>
  <w:style w:type="paragraph" w:styleId="8">
    <w:name w:val="toc 7"/>
    <w:basedOn w:val="1"/>
    <w:next w:val="1"/>
    <w:qFormat/>
    <w:uiPriority w:val="39"/>
    <w:pPr>
      <w:spacing w:after="100"/>
      <w:ind w:left="1440"/>
    </w:pPr>
  </w:style>
  <w:style w:type="paragraph" w:styleId="9">
    <w:name w:val="caption"/>
    <w:basedOn w:val="1"/>
    <w:next w:val="1"/>
    <w:qFormat/>
    <w:uiPriority w:val="35"/>
    <w:pPr>
      <w:spacing w:after="200"/>
    </w:pPr>
    <w:rPr>
      <w:i/>
      <w:iCs/>
      <w:color w:val="44546A"/>
      <w:sz w:val="18"/>
      <w:szCs w:val="18"/>
    </w:rPr>
  </w:style>
  <w:style w:type="paragraph" w:styleId="10">
    <w:name w:val="Body Text Indent"/>
    <w:basedOn w:val="1"/>
    <w:next w:val="1"/>
    <w:qFormat/>
    <w:uiPriority w:val="0"/>
    <w:pPr>
      <w:ind w:firstLine="645"/>
    </w:pPr>
    <w:rPr>
      <w:rFonts w:ascii="楷体_GB2312" w:eastAsia="楷体_GB2312" w:hAnsiTheme="minorHAnsi" w:cstheme="minorBidi"/>
      <w:kern w:val="2"/>
      <w:sz w:val="32"/>
      <w:szCs w:val="24"/>
      <w:lang w:val="en-US"/>
    </w:rPr>
  </w:style>
  <w:style w:type="paragraph" w:styleId="11">
    <w:name w:val="toc 5"/>
    <w:basedOn w:val="1"/>
    <w:next w:val="1"/>
    <w:qFormat/>
    <w:uiPriority w:val="39"/>
    <w:pPr>
      <w:spacing w:after="100"/>
      <w:ind w:left="960"/>
    </w:pPr>
  </w:style>
  <w:style w:type="paragraph" w:styleId="12">
    <w:name w:val="toc 3"/>
    <w:basedOn w:val="1"/>
    <w:next w:val="1"/>
    <w:uiPriority w:val="39"/>
    <w:pPr>
      <w:spacing w:after="100"/>
      <w:ind w:left="480"/>
    </w:pPr>
  </w:style>
  <w:style w:type="paragraph" w:styleId="13">
    <w:name w:val="toc 8"/>
    <w:basedOn w:val="1"/>
    <w:next w:val="1"/>
    <w:qFormat/>
    <w:uiPriority w:val="39"/>
    <w:pPr>
      <w:spacing w:after="100"/>
      <w:ind w:left="1680"/>
    </w:pPr>
  </w:style>
  <w:style w:type="paragraph" w:styleId="14">
    <w:name w:val="endnote text"/>
    <w:basedOn w:val="1"/>
    <w:link w:val="34"/>
    <w:qFormat/>
    <w:uiPriority w:val="99"/>
    <w:pPr>
      <w:spacing w:after="0" w:line="240" w:lineRule="auto"/>
    </w:pPr>
    <w:rPr>
      <w:sz w:val="20"/>
      <w:szCs w:val="20"/>
    </w:rPr>
  </w:style>
  <w:style w:type="paragraph" w:styleId="15">
    <w:name w:val="footer"/>
    <w:basedOn w:val="1"/>
    <w:qFormat/>
    <w:uiPriority w:val="0"/>
    <w:pPr>
      <w:tabs>
        <w:tab w:val="center" w:pos="4153"/>
        <w:tab w:val="right" w:pos="8306"/>
      </w:tabs>
      <w:snapToGrid w:val="0"/>
      <w:jc w:val="left"/>
    </w:pPr>
    <w:rPr>
      <w:sz w:val="18"/>
    </w:rPr>
  </w:style>
  <w:style w:type="paragraph" w:styleId="16">
    <w:name w:val="toc 1"/>
    <w:basedOn w:val="1"/>
    <w:next w:val="1"/>
    <w:qFormat/>
    <w:uiPriority w:val="39"/>
    <w:pPr>
      <w:spacing w:after="100"/>
    </w:pPr>
  </w:style>
  <w:style w:type="paragraph" w:styleId="17">
    <w:name w:val="toc 4"/>
    <w:basedOn w:val="1"/>
    <w:next w:val="1"/>
    <w:qFormat/>
    <w:uiPriority w:val="39"/>
    <w:pPr>
      <w:spacing w:after="100"/>
      <w:ind w:left="720"/>
    </w:pPr>
  </w:style>
  <w:style w:type="paragraph" w:styleId="18">
    <w:name w:val="footnote text"/>
    <w:basedOn w:val="1"/>
    <w:link w:val="33"/>
    <w:qFormat/>
    <w:uiPriority w:val="99"/>
    <w:pPr>
      <w:spacing w:after="0" w:line="240" w:lineRule="auto"/>
    </w:pPr>
    <w:rPr>
      <w:sz w:val="20"/>
      <w:szCs w:val="20"/>
    </w:rPr>
  </w:style>
  <w:style w:type="paragraph" w:styleId="19">
    <w:name w:val="toc 6"/>
    <w:basedOn w:val="1"/>
    <w:next w:val="1"/>
    <w:qFormat/>
    <w:uiPriority w:val="39"/>
    <w:pPr>
      <w:spacing w:after="100"/>
      <w:ind w:left="1200"/>
    </w:pPr>
  </w:style>
  <w:style w:type="paragraph" w:styleId="20">
    <w:name w:val="toc 2"/>
    <w:basedOn w:val="1"/>
    <w:next w:val="1"/>
    <w:qFormat/>
    <w:uiPriority w:val="39"/>
    <w:pPr>
      <w:spacing w:after="100"/>
      <w:ind w:left="240"/>
    </w:pPr>
  </w:style>
  <w:style w:type="paragraph" w:styleId="21">
    <w:name w:val="toc 9"/>
    <w:basedOn w:val="1"/>
    <w:next w:val="1"/>
    <w:qFormat/>
    <w:uiPriority w:val="39"/>
    <w:pPr>
      <w:spacing w:after="100"/>
      <w:ind w:left="1920"/>
    </w:pPr>
  </w:style>
  <w:style w:type="paragraph" w:styleId="22">
    <w:name w:val="Normal (Web)"/>
    <w:basedOn w:val="1"/>
    <w:qFormat/>
    <w:uiPriority w:val="0"/>
    <w:pPr>
      <w:spacing w:before="0" w:beforeAutospacing="1" w:after="0" w:afterAutospacing="1"/>
      <w:ind w:left="0" w:right="0"/>
      <w:jc w:val="left"/>
    </w:pPr>
    <w:rPr>
      <w:kern w:val="0"/>
      <w:sz w:val="24"/>
      <w:lang w:val="en-US" w:eastAsia="zh-CN"/>
    </w:rPr>
  </w:style>
  <w:style w:type="paragraph" w:styleId="23">
    <w:name w:val="Title"/>
    <w:basedOn w:val="1"/>
    <w:next w:val="1"/>
    <w:qFormat/>
    <w:uiPriority w:val="0"/>
    <w:rPr>
      <w:sz w:val="56"/>
      <w:szCs w:val="56"/>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endnote reference"/>
    <w:qFormat/>
    <w:uiPriority w:val="99"/>
    <w:rPr>
      <w:vertAlign w:val="superscript"/>
    </w:rPr>
  </w:style>
  <w:style w:type="character" w:styleId="28">
    <w:name w:val="line number"/>
    <w:qFormat/>
    <w:uiPriority w:val="99"/>
  </w:style>
  <w:style w:type="character" w:styleId="29">
    <w:name w:val="Hyperlink"/>
    <w:qFormat/>
    <w:uiPriority w:val="99"/>
    <w:rPr>
      <w:color w:val="0563C1"/>
      <w:u w:val="single"/>
    </w:rPr>
  </w:style>
  <w:style w:type="character" w:styleId="30">
    <w:name w:val="footnote reference"/>
    <w:qFormat/>
    <w:uiPriority w:val="99"/>
    <w:rPr>
      <w:vertAlign w:val="superscript"/>
    </w:rPr>
  </w:style>
  <w:style w:type="paragraph" w:styleId="31">
    <w:name w:val="List Paragraph"/>
    <w:basedOn w:val="1"/>
    <w:qFormat/>
    <w:uiPriority w:val="0"/>
  </w:style>
  <w:style w:type="paragraph" w:customStyle="1" w:styleId="32">
    <w:name w:val="Bibliography_dc8a7a17-e352-4e59-a8a0-e7b282343cb9"/>
    <w:basedOn w:val="1"/>
    <w:next w:val="1"/>
    <w:qFormat/>
    <w:uiPriority w:val="37"/>
  </w:style>
  <w:style w:type="character" w:customStyle="1" w:styleId="33">
    <w:name w:val="Footnote Text Char"/>
    <w:link w:val="18"/>
    <w:qFormat/>
    <w:uiPriority w:val="99"/>
    <w:rPr>
      <w:sz w:val="20"/>
      <w:szCs w:val="20"/>
    </w:rPr>
  </w:style>
  <w:style w:type="character" w:customStyle="1" w:styleId="34">
    <w:name w:val="Endnote Text Char"/>
    <w:link w:val="14"/>
    <w:qFormat/>
    <w:uiPriority w:val="99"/>
    <w:rPr>
      <w:sz w:val="20"/>
      <w:szCs w:val="20"/>
    </w:rPr>
  </w:style>
  <w:style w:type="paragraph" w:customStyle="1" w:styleId="35">
    <w:name w:val="Table Text"/>
    <w:basedOn w:val="1"/>
    <w:qFormat/>
    <w:uiPriority w:val="0"/>
    <w:rPr>
      <w:rFonts w:ascii="宋体" w:hAnsi="宋体" w:eastAsia="宋体" w:cs="宋体"/>
      <w:sz w:val="23"/>
      <w:szCs w:val="23"/>
      <w:lang w:val="en-US" w:eastAsia="en-US" w:bidi="ar-SA"/>
    </w:rPr>
  </w:style>
  <w:style w:type="table" w:customStyle="1" w:styleId="36">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735</Words>
  <Characters>780</Characters>
  <Paragraphs>134</Paragraphs>
  <TotalTime>4</TotalTime>
  <ScaleCrop>false</ScaleCrop>
  <LinksUpToDate>false</LinksUpToDate>
  <CharactersWithSpaces>780</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2026-10-26T03:06:00Z</dcterms:created>
  <dc:creator>Un-named</dc:creator>
  <cp:lastModifiedBy>王婕</cp:lastModifiedBy>
  <dcterms:modified xsi:type="dcterms:W3CDTF">2026-10-27T07:16:36Z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D55U9H0F10002","ProduceID":"74470967-7237-41c7-94ff-c20019bb1cf6","ReservedCode1":"48d38060-d2f1-4d9d-b7e9-d99ae7b2a4f9","ContentPropagator":"001191110102MAD55U9H0F10002","PropagateID":"74470967-7237-41c7-94ff-c20019bb1cf6","ReservedCode2":"48d38060-d2f1-4d9d-b7e9-d99ae7b2a4f9"}</vt:lpwstr>
  </property>
  <property fmtid="{D5CDD505-2E9C-101B-9397-08002B2CF9AE}" pid="3" name="KSOTemplateDocerSaveRecord">
    <vt:lpwstr>eyJoZGlkIjoiNDcxZDg0ZWZlNTMyMWFmODA3ODVkMjZkMzg5ZDVhYzAiLCJ1c2VySWQiOiIxOTE4NjEwNzExIn0=</vt:lpwstr>
  </property>
  <property fmtid="{D5CDD505-2E9C-101B-9397-08002B2CF9AE}" pid="4" name="KSOProductBuildVer">
    <vt:lpwstr>2052-12.1.0.29161</vt:lpwstr>
  </property>
  <property fmtid="{D5CDD505-2E9C-101B-9397-08002B2CF9AE}" pid="5" name="ICV">
    <vt:lpwstr>659269CF4DD24BB3806A3C01E75D13DE_13</vt:lpwstr>
  </property>
</Properties>
</file>