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cs="宋体"/>
          <w:color w:val="333333"/>
          <w:kern w:val="0"/>
          <w:szCs w:val="21"/>
        </w:rPr>
        <w:t>附件：</w:t>
      </w:r>
    </w:p>
    <w:p>
      <w:pPr>
        <w:pStyle w:val="12"/>
        <w:numPr>
          <w:ilvl w:val="0"/>
          <w:numId w:val="2"/>
        </w:numPr>
        <w:ind w:leftChars="0"/>
        <w:jc w:val="center"/>
        <w:rPr>
          <w:rFonts w:ascii="宋体" w:hAnsi="宋体" w:eastAsia="宋体" w:cs="宋体"/>
          <w:b/>
          <w:kern w:val="0"/>
          <w:sz w:val="28"/>
          <w:szCs w:val="28"/>
        </w:rPr>
      </w:pPr>
      <w:r>
        <w:rPr>
          <w:rFonts w:hint="eastAsia" w:ascii="宋体" w:hAnsi="宋体" w:eastAsia="宋体" w:cs="宋体"/>
          <w:b/>
          <w:kern w:val="0"/>
          <w:sz w:val="28"/>
          <w:szCs w:val="28"/>
        </w:rPr>
        <w:t>招标邀请</w:t>
      </w:r>
    </w:p>
    <w:p/>
    <w:p>
      <w:pPr>
        <w:pStyle w:val="20"/>
      </w:pPr>
    </w:p>
    <w:p>
      <w:pPr>
        <w:spacing w:line="360" w:lineRule="auto"/>
        <w:ind w:firstLine="420" w:firstLineChars="200"/>
        <w:rPr>
          <w:rFonts w:ascii="宋体" w:hAnsi="宋体" w:cs="宋体"/>
          <w:kern w:val="0"/>
          <w:szCs w:val="21"/>
        </w:rPr>
      </w:pPr>
      <w:r>
        <w:rPr>
          <w:rFonts w:hint="eastAsia" w:ascii="宋体" w:hAnsi="宋体" w:cs="宋体"/>
          <w:kern w:val="0"/>
          <w:szCs w:val="21"/>
        </w:rPr>
        <w:t>根据政府采购相关规定，南京市江宁医院就</w:t>
      </w:r>
      <w:r>
        <w:rPr>
          <w:rFonts w:hint="eastAsia" w:ascii="宋体" w:hAnsi="宋体" w:cs="宋体"/>
          <w:kern w:val="0"/>
          <w:szCs w:val="21"/>
          <w:highlight w:val="none"/>
        </w:rPr>
        <w:t>DRGS成本核算</w:t>
      </w:r>
      <w:r>
        <w:rPr>
          <w:rFonts w:hint="eastAsia" w:ascii="宋体" w:hAnsi="宋体" w:cs="宋体"/>
          <w:kern w:val="0"/>
          <w:szCs w:val="21"/>
        </w:rPr>
        <w:t>项目进行院内采购，兹邀请符合资格条件的生产企业、经销企业以及潜在供应商参加。</w:t>
      </w:r>
    </w:p>
    <w:p>
      <w:pPr>
        <w:jc w:val="left"/>
        <w:rPr>
          <w:rFonts w:ascii="宋体" w:hAnsi="宋体" w:eastAsia="宋体"/>
          <w:sz w:val="24"/>
          <w:szCs w:val="24"/>
        </w:rPr>
      </w:pPr>
    </w:p>
    <w:p>
      <w:pPr>
        <w:tabs>
          <w:tab w:val="left" w:pos="7005"/>
        </w:tabs>
        <w:autoSpaceDE w:val="0"/>
        <w:autoSpaceDN w:val="0"/>
        <w:jc w:val="left"/>
        <w:rPr>
          <w:rFonts w:hint="default" w:ascii="宋体" w:hAnsi="宋体" w:eastAsia="宋体"/>
          <w:b/>
          <w:bCs/>
          <w:sz w:val="24"/>
          <w:szCs w:val="24"/>
          <w:u w:val="single"/>
          <w:lang w:val="en-US" w:eastAsia="zh-CN"/>
        </w:rPr>
      </w:pPr>
      <w:r>
        <w:rPr>
          <w:rFonts w:hint="eastAsia" w:ascii="宋体" w:hAnsi="宋体" w:eastAsia="宋体"/>
          <w:b/>
          <w:bCs/>
          <w:sz w:val="24"/>
          <w:szCs w:val="24"/>
        </w:rPr>
        <w:t>1、项目编号：</w:t>
      </w:r>
      <w:r>
        <w:rPr>
          <w:rFonts w:hint="eastAsia" w:ascii="宋体" w:hAnsi="宋体"/>
          <w:b/>
          <w:bCs/>
          <w:sz w:val="24"/>
          <w:szCs w:val="24"/>
          <w:lang w:val="en-US" w:eastAsia="zh-CN"/>
        </w:rPr>
        <w:t>JNYY-20230519002</w:t>
      </w:r>
    </w:p>
    <w:p>
      <w:pPr>
        <w:widowControl/>
        <w:tabs>
          <w:tab w:val="left" w:pos="7005"/>
        </w:tabs>
        <w:jc w:val="left"/>
        <w:rPr>
          <w:rFonts w:ascii="宋体" w:hAnsi="宋体" w:eastAsia="宋体"/>
          <w:sz w:val="24"/>
          <w:szCs w:val="24"/>
        </w:rPr>
      </w:pPr>
      <w:r>
        <w:rPr>
          <w:rFonts w:hint="eastAsia" w:ascii="宋体" w:hAnsi="宋体" w:eastAsia="宋体"/>
          <w:b/>
          <w:bCs/>
          <w:sz w:val="24"/>
          <w:szCs w:val="24"/>
        </w:rPr>
        <w:t>2、项目内容：南京市江宁医院成本核算系统升级与DRGS成本核算项目</w:t>
      </w:r>
    </w:p>
    <w:p>
      <w:pPr>
        <w:jc w:val="left"/>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w:t>
      </w:r>
      <w:r>
        <w:rPr>
          <w:rFonts w:hint="eastAsia" w:ascii="宋体" w:hAnsi="宋体"/>
          <w:b/>
          <w:sz w:val="24"/>
          <w:szCs w:val="24"/>
          <w:u w:val="single"/>
          <w:lang w:val="en-US" w:eastAsia="zh-CN"/>
        </w:rPr>
        <w:t>29.8</w:t>
      </w:r>
      <w:r>
        <w:rPr>
          <w:rFonts w:hint="eastAsia" w:ascii="宋体" w:hAnsi="宋体" w:eastAsia="宋体"/>
          <w:bCs/>
          <w:sz w:val="24"/>
          <w:szCs w:val="24"/>
          <w:lang w:val="en-US"/>
        </w:rPr>
        <w:t>万元，</w:t>
      </w:r>
      <w:r>
        <w:rPr>
          <w:rFonts w:ascii="宋体" w:hAnsi="宋体" w:eastAsia="宋体"/>
          <w:sz w:val="24"/>
        </w:rPr>
        <w:t>报价超过项目预算的为无效响应文件</w:t>
      </w:r>
      <w:r>
        <w:rPr>
          <w:rFonts w:hint="eastAsia" w:ascii="宋体" w:hAnsi="宋体" w:eastAsia="宋体"/>
          <w:bCs/>
          <w:color w:val="000000"/>
          <w:sz w:val="24"/>
          <w:szCs w:val="24"/>
        </w:rPr>
        <w:t>。</w:t>
      </w:r>
    </w:p>
    <w:p>
      <w:pPr>
        <w:autoSpaceDE w:val="0"/>
        <w:autoSpaceDN w:val="0"/>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.1供应商应具备的基本条件:</w:t>
      </w:r>
    </w:p>
    <w:p>
      <w:pPr>
        <w:jc w:val="left"/>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jc w:val="left"/>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jc w:val="left"/>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jc w:val="left"/>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jc w:val="left"/>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参加采购活动前三年内，在经营活动中没有重大违法记录；</w:t>
      </w:r>
    </w:p>
    <w:p>
      <w:pPr>
        <w:jc w:val="left"/>
        <w:rPr>
          <w:rFonts w:ascii="宋体" w:hAnsi="宋体" w:eastAsia="宋体"/>
          <w:b/>
          <w:bCs/>
          <w:sz w:val="24"/>
          <w:szCs w:val="24"/>
        </w:rPr>
      </w:pPr>
      <w:r>
        <w:rPr>
          <w:rFonts w:ascii="宋体" w:hAnsi="宋体" w:eastAsia="宋体"/>
          <w:color w:val="000000"/>
          <w:sz w:val="24"/>
          <w:szCs w:val="24"/>
        </w:rPr>
        <w:t xml:space="preserve">4.1.6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p>
    <w:p>
      <w:pPr>
        <w:tabs>
          <w:tab w:val="left" w:pos="321"/>
        </w:tabs>
        <w:jc w:val="left"/>
        <w:rPr>
          <w:rFonts w:ascii="宋体" w:hAnsi="宋体" w:eastAsia="宋体"/>
          <w:b/>
          <w:sz w:val="24"/>
          <w:szCs w:val="24"/>
          <w:lang w:val="en-US"/>
        </w:rPr>
      </w:pPr>
      <w:r>
        <w:rPr>
          <w:rFonts w:hint="eastAsia" w:ascii="宋体" w:hAnsi="宋体" w:eastAsia="宋体"/>
          <w:b/>
          <w:sz w:val="24"/>
          <w:szCs w:val="24"/>
          <w:lang w:val="en-US"/>
        </w:rPr>
        <w:t>4.2采购人根据采购项目的特殊要求规定的特定条件：无</w:t>
      </w:r>
    </w:p>
    <w:p>
      <w:pPr>
        <w:tabs>
          <w:tab w:val="left" w:pos="321"/>
        </w:tabs>
        <w:jc w:val="left"/>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.3拒绝下述供应商参加本次采购活动：</w:t>
      </w:r>
    </w:p>
    <w:p>
      <w:pPr>
        <w:jc w:val="left"/>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参加采购活动前三年内，在经营活动中有重大违法记录的；</w:t>
      </w:r>
    </w:p>
    <w:p>
      <w:pPr>
        <w:jc w:val="left"/>
        <w:rPr>
          <w:rFonts w:ascii="宋体" w:hAnsi="宋体" w:eastAsia="宋体"/>
          <w:bCs/>
          <w:color w:val="000000"/>
          <w:sz w:val="24"/>
          <w:szCs w:val="24"/>
        </w:rPr>
      </w:pPr>
      <w:r>
        <w:rPr>
          <w:rFonts w:ascii="宋体" w:hAnsi="宋体" w:eastAsia="宋体"/>
          <w:bCs/>
          <w:color w:val="000000"/>
          <w:sz w:val="24"/>
          <w:szCs w:val="24"/>
        </w:rPr>
        <w:t>4.3.2</w:t>
      </w:r>
      <w:r>
        <w:rPr>
          <w:rFonts w:hint="eastAsia" w:ascii="宋体" w:hAnsi="宋体" w:eastAsia="宋体"/>
          <w:bCs/>
          <w:color w:val="000000"/>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ascii="宋体" w:hAnsi="宋体" w:eastAsia="宋体"/>
          <w:bCs/>
          <w:color w:val="000000"/>
          <w:sz w:val="24"/>
          <w:szCs w:val="24"/>
        </w:rPr>
        <w:t xml:space="preserve"> </w:t>
      </w:r>
    </w:p>
    <w:p>
      <w:pPr>
        <w:jc w:val="left"/>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在全国范围内受过财政部门禁止参加采购活动的处罚期限未满的；</w:t>
      </w:r>
      <w:r>
        <w:rPr>
          <w:rFonts w:ascii="宋体" w:hAnsi="宋体" w:eastAsia="宋体"/>
          <w:bCs/>
          <w:color w:val="000000"/>
          <w:sz w:val="24"/>
          <w:szCs w:val="24"/>
        </w:rPr>
        <w:t xml:space="preserve"> </w:t>
      </w:r>
    </w:p>
    <w:p>
      <w:pPr>
        <w:jc w:val="left"/>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jc w:val="left"/>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参加本次采购活动不同供应商的授权代理人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在采购文件发布日上月至投标截止日当月在同一单位缴纳社会保险的；</w:t>
      </w:r>
      <w:r>
        <w:rPr>
          <w:rFonts w:ascii="宋体" w:hAnsi="宋体" w:eastAsia="宋体"/>
          <w:bCs/>
          <w:color w:val="000000"/>
          <w:sz w:val="24"/>
          <w:szCs w:val="24"/>
        </w:rPr>
        <w:t xml:space="preserve"> </w:t>
      </w:r>
    </w:p>
    <w:p>
      <w:pPr>
        <w:jc w:val="left"/>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参加本次采购活动不同供应商的法定代表人或委托代理人有夫妻、直系血亲关系的；</w:t>
      </w:r>
      <w:r>
        <w:rPr>
          <w:rFonts w:ascii="宋体" w:hAnsi="宋体" w:eastAsia="宋体"/>
          <w:bCs/>
          <w:color w:val="000000"/>
          <w:sz w:val="24"/>
          <w:szCs w:val="24"/>
        </w:rPr>
        <w:t xml:space="preserve"> </w:t>
      </w:r>
    </w:p>
    <w:p>
      <w:pPr>
        <w:jc w:val="left"/>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参加本次采购活动不同供应商的负责人为同一人，或不同供应商之间存在直接控股、管理关系的。</w:t>
      </w:r>
      <w:r>
        <w:rPr>
          <w:rFonts w:hint="eastAsia" w:ascii="宋体" w:hAnsi="宋体" w:eastAsia="宋体"/>
          <w:sz w:val="24"/>
          <w:szCs w:val="24"/>
        </w:rPr>
        <w:t xml:space="preserve">  </w:t>
      </w:r>
    </w:p>
    <w:p>
      <w:pPr>
        <w:jc w:val="left"/>
        <w:rPr>
          <w:rFonts w:ascii="宋体" w:hAnsi="宋体" w:eastAsia="宋体"/>
          <w:sz w:val="24"/>
          <w:szCs w:val="24"/>
        </w:rPr>
      </w:pPr>
      <w:r>
        <w:rPr>
          <w:rFonts w:hint="eastAsia" w:ascii="宋体" w:hAnsi="宋体" w:eastAsia="宋体"/>
          <w:b/>
          <w:bCs/>
          <w:sz w:val="24"/>
          <w:szCs w:val="24"/>
        </w:rPr>
        <w:t>5、集中现场考察或答疑：</w:t>
      </w:r>
      <w:r>
        <w:rPr>
          <w:rFonts w:hint="eastAsia" w:ascii="宋体" w:hAnsi="宋体" w:eastAsia="宋体"/>
          <w:bCs/>
          <w:sz w:val="24"/>
          <w:szCs w:val="24"/>
        </w:rPr>
        <w:t>采购人不组织，供应商可自行联系采购人。</w:t>
      </w:r>
      <w:r>
        <w:rPr>
          <w:rFonts w:hint="eastAsia" w:ascii="宋体" w:hAnsi="宋体" w:eastAsia="宋体"/>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jc w:val="left"/>
        <w:rPr>
          <w:rFonts w:ascii="宋体" w:hAnsi="宋体" w:eastAsia="宋体"/>
          <w:b/>
          <w:bCs/>
          <w:sz w:val="24"/>
          <w:szCs w:val="24"/>
          <w:lang w:val="en-US"/>
        </w:rPr>
      </w:pPr>
      <w:r>
        <w:rPr>
          <w:rFonts w:hint="eastAsia" w:ascii="宋体" w:hAnsi="宋体" w:eastAsia="宋体"/>
          <w:b/>
          <w:bCs/>
          <w:sz w:val="24"/>
          <w:szCs w:val="24"/>
          <w:lang w:val="en-US"/>
        </w:rPr>
        <w:t>6、</w:t>
      </w:r>
      <w:r>
        <w:rPr>
          <w:rFonts w:ascii="宋体" w:hAnsi="宋体" w:eastAsia="宋体"/>
          <w:b/>
          <w:bCs/>
          <w:sz w:val="24"/>
          <w:szCs w:val="24"/>
          <w:lang w:val="en-US"/>
        </w:rPr>
        <w:t>是否接</w:t>
      </w:r>
      <w:r>
        <w:rPr>
          <w:rFonts w:hint="eastAsia" w:ascii="宋体" w:hAnsi="宋体" w:eastAsia="宋体"/>
          <w:b/>
          <w:bCs/>
          <w:sz w:val="24"/>
          <w:szCs w:val="24"/>
          <w:lang w:val="en-US"/>
        </w:rPr>
        <w:t>受</w:t>
      </w:r>
      <w:r>
        <w:rPr>
          <w:rFonts w:ascii="宋体" w:hAnsi="宋体" w:eastAsia="宋体"/>
          <w:b/>
          <w:bCs/>
          <w:sz w:val="24"/>
          <w:szCs w:val="24"/>
          <w:lang w:val="en-US"/>
        </w:rPr>
        <w:t>进口产品：</w:t>
      </w:r>
      <w:r>
        <w:rPr>
          <w:rFonts w:ascii="宋体" w:hAnsi="宋体" w:eastAsia="宋体"/>
          <w:bCs/>
          <w:sz w:val="24"/>
          <w:szCs w:val="24"/>
          <w:lang w:val="en-US"/>
        </w:rPr>
        <w:t>否。</w:t>
      </w:r>
    </w:p>
    <w:p>
      <w:pPr>
        <w:tabs>
          <w:tab w:val="left" w:pos="241"/>
        </w:tabs>
        <w:jc w:val="left"/>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widowControl/>
        <w:shd w:val="clear" w:color="auto" w:fill="FFFFFF"/>
        <w:jc w:val="left"/>
        <w:rPr>
          <w:rFonts w:ascii="宋体" w:hAnsi="宋体" w:eastAsia="宋体"/>
          <w:sz w:val="24"/>
          <w:szCs w:val="24"/>
          <w:lang w:val="en-US"/>
        </w:rPr>
      </w:pPr>
      <w:r>
        <w:rPr>
          <w:rFonts w:hint="eastAsia" w:ascii="宋体" w:hAnsi="宋体" w:eastAsia="宋体"/>
          <w:b/>
          <w:bCs/>
          <w:sz w:val="24"/>
          <w:szCs w:val="24"/>
          <w:lang w:val="en-US"/>
        </w:rPr>
        <w:t>8</w:t>
      </w:r>
      <w:r>
        <w:rPr>
          <w:rFonts w:hint="eastAsia" w:ascii="宋体" w:hAnsi="宋体" w:eastAsia="宋体"/>
          <w:b/>
          <w:bCs/>
          <w:sz w:val="24"/>
          <w:szCs w:val="24"/>
        </w:rPr>
        <w:t>、</w:t>
      </w:r>
      <w:r>
        <w:rPr>
          <w:rFonts w:hint="eastAsia" w:ascii="宋体" w:hAnsi="宋体" w:eastAsia="宋体"/>
          <w:b/>
          <w:bCs/>
          <w:sz w:val="24"/>
          <w:szCs w:val="24"/>
          <w:lang w:val="en-US"/>
        </w:rPr>
        <w:t>投标</w:t>
      </w:r>
      <w:r>
        <w:rPr>
          <w:rFonts w:hint="eastAsia" w:ascii="宋体" w:hAnsi="宋体" w:eastAsia="宋体"/>
          <w:b/>
          <w:bCs/>
          <w:sz w:val="24"/>
          <w:szCs w:val="24"/>
        </w:rPr>
        <w:t>保证金：</w:t>
      </w:r>
      <w:r>
        <w:rPr>
          <w:rFonts w:hint="eastAsia" w:ascii="宋体" w:hAnsi="宋体" w:eastAsia="宋体"/>
          <w:b/>
          <w:bCs/>
          <w:sz w:val="24"/>
          <w:szCs w:val="24"/>
          <w:lang w:val="en-US"/>
        </w:rPr>
        <w:t>本项目不设投标保证金</w:t>
      </w:r>
    </w:p>
    <w:p>
      <w:pPr>
        <w:autoSpaceDE w:val="0"/>
        <w:autoSpaceDN w:val="0"/>
        <w:jc w:val="left"/>
        <w:rPr>
          <w:rFonts w:hint="eastAsia" w:ascii="宋体" w:hAnsi="宋体" w:eastAsia="宋体"/>
          <w:sz w:val="24"/>
          <w:szCs w:val="24"/>
          <w:lang w:eastAsia="zh-CN"/>
        </w:rPr>
      </w:pPr>
      <w:r>
        <w:rPr>
          <w:rFonts w:hint="eastAsia" w:ascii="宋体" w:hAnsi="宋体"/>
          <w:b/>
          <w:bCs/>
          <w:sz w:val="24"/>
          <w:szCs w:val="24"/>
          <w:lang w:val="en-US" w:eastAsia="zh-CN"/>
        </w:rPr>
        <w:t>9</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rPr>
        <w:t>联系人：熊</w:t>
      </w:r>
      <w:r>
        <w:rPr>
          <w:rFonts w:hint="eastAsia" w:ascii="宋体" w:hAnsi="宋体"/>
          <w:sz w:val="24"/>
          <w:szCs w:val="24"/>
          <w:lang w:eastAsia="zh-CN"/>
        </w:rPr>
        <w:t>老师</w:t>
      </w:r>
    </w:p>
    <w:p>
      <w:pPr>
        <w:autoSpaceDE w:val="0"/>
        <w:autoSpaceDN w:val="0"/>
        <w:jc w:val="left"/>
        <w:rPr>
          <w:rFonts w:ascii="宋体" w:hAnsi="宋体" w:eastAsia="宋体"/>
          <w:sz w:val="24"/>
          <w:szCs w:val="24"/>
        </w:rPr>
      </w:pPr>
      <w:r>
        <w:rPr>
          <w:rFonts w:hint="eastAsia" w:ascii="宋体" w:hAnsi="宋体" w:eastAsia="宋体"/>
          <w:sz w:val="24"/>
          <w:szCs w:val="24"/>
        </w:rPr>
        <w:t>联系电话：</w:t>
      </w:r>
      <w:r>
        <w:rPr>
          <w:rFonts w:ascii="宋体" w:hAnsi="宋体" w:eastAsia="宋体"/>
          <w:sz w:val="24"/>
          <w:szCs w:val="24"/>
        </w:rPr>
        <w:t>13645153881</w:t>
      </w:r>
    </w:p>
    <w:p>
      <w:pPr>
        <w:spacing w:line="420" w:lineRule="exact"/>
        <w:rPr>
          <w:rFonts w:hint="eastAsia" w:ascii="宋体" w:hAnsi="宋体" w:eastAsia="宋体"/>
          <w:sz w:val="24"/>
          <w:szCs w:val="24"/>
          <w:lang w:val="en-US"/>
        </w:rPr>
      </w:pPr>
      <w:r>
        <w:rPr>
          <w:rFonts w:hint="eastAsia" w:ascii="宋体" w:hAnsi="宋体" w:eastAsia="宋体"/>
          <w:sz w:val="24"/>
          <w:szCs w:val="24"/>
          <w:lang w:val="en-US"/>
        </w:rPr>
        <w:t>地址：南京市江宁区东山街道湖山路169号南京市江宁医院</w:t>
      </w:r>
    </w:p>
    <w:p>
      <w:pPr>
        <w:pStyle w:val="2"/>
        <w:rPr>
          <w:rFonts w:hint="eastAsia" w:ascii="宋体" w:hAnsi="宋体" w:eastAsia="宋体"/>
          <w:sz w:val="24"/>
          <w:szCs w:val="24"/>
          <w:lang w:val="en-US"/>
        </w:rPr>
      </w:pPr>
    </w:p>
    <w:p>
      <w:pPr>
        <w:pStyle w:val="2"/>
        <w:ind w:left="0" w:leftChars="0" w:firstLine="0" w:firstLineChars="0"/>
        <w:rPr>
          <w:rFonts w:hint="eastAsia" w:ascii="宋体" w:hAnsi="宋体" w:eastAsia="宋体"/>
          <w:sz w:val="24"/>
          <w:szCs w:val="24"/>
          <w:lang w:val="en-US"/>
        </w:rPr>
      </w:pPr>
    </w:p>
    <w:p>
      <w:pPr>
        <w:spacing w:line="420" w:lineRule="exact"/>
        <w:ind w:firstLine="281" w:firstLineChars="100"/>
        <w:jc w:val="center"/>
        <w:rPr>
          <w:rFonts w:ascii="宋体" w:hAnsi="宋体" w:cs="宋体"/>
          <w:b/>
          <w:kern w:val="0"/>
          <w:sz w:val="28"/>
          <w:szCs w:val="28"/>
        </w:rPr>
      </w:pPr>
      <w:r>
        <w:rPr>
          <w:rFonts w:hint="eastAsia" w:ascii="宋体" w:hAnsi="宋体" w:cs="宋体"/>
          <w:b/>
          <w:kern w:val="0"/>
          <w:sz w:val="28"/>
          <w:szCs w:val="28"/>
        </w:rPr>
        <w:t>第二章  技术参数及要求</w:t>
      </w:r>
    </w:p>
    <w:p>
      <w:pPr>
        <w:pStyle w:val="30"/>
        <w:numPr>
          <w:ilvl w:val="255"/>
          <w:numId w:val="0"/>
        </w:numPr>
        <w:spacing w:line="420" w:lineRule="exact"/>
        <w:rPr>
          <w:rFonts w:ascii="宋体" w:hAnsi="宋体" w:eastAsia="宋体" w:cs="宋体"/>
          <w:b/>
          <w:sz w:val="21"/>
          <w:szCs w:val="21"/>
        </w:rPr>
      </w:pPr>
      <w:r>
        <w:rPr>
          <w:rFonts w:hint="eastAsia" w:ascii="宋体" w:hAnsi="宋体" w:eastAsia="宋体" w:cs="宋体"/>
          <w:b/>
          <w:sz w:val="21"/>
          <w:szCs w:val="21"/>
        </w:rPr>
        <w:t>一、</w:t>
      </w:r>
      <w:r>
        <w:rPr>
          <w:rFonts w:hint="eastAsia" w:ascii="宋体" w:hAnsi="宋体" w:eastAsia="宋体" w:cs="宋体"/>
          <w:b/>
          <w:sz w:val="24"/>
          <w:szCs w:val="24"/>
        </w:rPr>
        <w:t>项目背景</w:t>
      </w:r>
    </w:p>
    <w:p>
      <w:pPr>
        <w:pStyle w:val="19"/>
        <w:spacing w:line="360" w:lineRule="auto"/>
        <w:ind w:firstLine="480" w:firstLineChars="200"/>
        <w:rPr>
          <w:sz w:val="24"/>
          <w:szCs w:val="24"/>
        </w:rPr>
      </w:pPr>
      <w:r>
        <w:rPr>
          <w:rFonts w:hint="eastAsia"/>
          <w:sz w:val="24"/>
          <w:szCs w:val="24"/>
        </w:rPr>
        <w:t>2021年1月26日，国卫财务发〔2021〕4号《关于印发公立医院成本核算规范的通知》，通知中指出为健全现代医院管理制度，规范公立医院成本核算工作，推进公立医院高质量发展，国家卫生健康委和国家中医药管理局组织制定了《公立医院成本核算规范》。</w:t>
      </w:r>
    </w:p>
    <w:p>
      <w:pPr>
        <w:pStyle w:val="19"/>
        <w:spacing w:line="360" w:lineRule="auto"/>
        <w:ind w:firstLine="480" w:firstLineChars="200"/>
        <w:rPr>
          <w:sz w:val="24"/>
          <w:szCs w:val="24"/>
        </w:rPr>
      </w:pPr>
      <w:r>
        <w:rPr>
          <w:rFonts w:hint="eastAsia"/>
          <w:sz w:val="24"/>
          <w:szCs w:val="24"/>
        </w:rPr>
        <w:t>文件中指出根据财政部公布的政府会计准则制度、《事业单位成本核算基本指引》、《关于医院执行政府会计制度——行政事业单位会计科目和报表的补充规定》、《医院财务制度》等规章制度，目标是健全现代医院管理制度，优化资源配置，规范公立医院成本核算工作，发挥成本核算在医疗服务定价、公立医院成本控制和绩效评价中的作用，提升单位内部管理水平和运营效率，推进公立医院高质量发展。</w:t>
      </w:r>
    </w:p>
    <w:p>
      <w:pPr>
        <w:pStyle w:val="19"/>
        <w:spacing w:before="0" w:beforeAutospacing="0" w:after="0" w:afterAutospacing="0" w:line="360" w:lineRule="auto"/>
        <w:ind w:firstLine="480" w:firstLineChars="200"/>
        <w:rPr>
          <w:sz w:val="24"/>
          <w:szCs w:val="24"/>
        </w:rPr>
      </w:pPr>
      <w:r>
        <w:rPr>
          <w:rFonts w:hint="eastAsia"/>
          <w:sz w:val="24"/>
          <w:szCs w:val="24"/>
        </w:rPr>
        <w:t>结合医院目前管理发展需要，对医院在用的成本核算系统进行升级。</w:t>
      </w:r>
    </w:p>
    <w:p>
      <w:pPr>
        <w:pStyle w:val="19"/>
        <w:spacing w:before="0" w:beforeAutospacing="0" w:after="0" w:afterAutospacing="0" w:line="360" w:lineRule="auto"/>
        <w:ind w:firstLine="480" w:firstLineChars="200"/>
        <w:rPr>
          <w:sz w:val="24"/>
          <w:szCs w:val="24"/>
        </w:rPr>
      </w:pPr>
    </w:p>
    <w:p>
      <w:pPr>
        <w:pStyle w:val="30"/>
        <w:spacing w:line="420" w:lineRule="exact"/>
        <w:ind w:firstLine="0" w:firstLineChars="0"/>
        <w:rPr>
          <w:rFonts w:ascii="宋体" w:hAnsi="宋体" w:eastAsia="宋体" w:cs="宋体"/>
          <w:b/>
          <w:sz w:val="21"/>
          <w:szCs w:val="21"/>
        </w:rPr>
      </w:pPr>
      <w:r>
        <w:rPr>
          <w:rFonts w:hint="eastAsia" w:ascii="宋体" w:hAnsi="宋体" w:eastAsia="宋体" w:cs="宋体"/>
          <w:b/>
          <w:sz w:val="21"/>
          <w:szCs w:val="21"/>
        </w:rPr>
        <w:t>二、</w:t>
      </w:r>
      <w:r>
        <w:rPr>
          <w:rFonts w:hint="eastAsia" w:ascii="宋体" w:hAnsi="宋体" w:eastAsia="宋体" w:cs="宋体"/>
          <w:b/>
          <w:sz w:val="24"/>
          <w:szCs w:val="24"/>
        </w:rPr>
        <w:t>采购需求</w:t>
      </w:r>
    </w:p>
    <w:tbl>
      <w:tblPr>
        <w:tblStyle w:val="21"/>
        <w:tblpPr w:leftFromText="180" w:rightFromText="180" w:vertAnchor="text" w:horzAnchor="page" w:tblpX="1722" w:tblpY="33"/>
        <w:tblOverlap w:val="never"/>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860"/>
        <w:gridCol w:w="110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20" w:type="dxa"/>
            <w:shd w:val="clear" w:color="000000" w:fill="F2F2F2"/>
            <w:vAlign w:val="center"/>
          </w:tcPr>
          <w:p>
            <w:pPr>
              <w:spacing w:line="420" w:lineRule="exact"/>
              <w:jc w:val="center"/>
              <w:rPr>
                <w:rFonts w:ascii="宋体" w:hAnsi="宋体" w:cs="宋体"/>
                <w:b/>
                <w:bCs/>
                <w:szCs w:val="21"/>
              </w:rPr>
            </w:pPr>
            <w:r>
              <w:rPr>
                <w:rFonts w:hint="eastAsia" w:ascii="宋体" w:hAnsi="宋体" w:cs="宋体"/>
                <w:b/>
                <w:bCs/>
                <w:szCs w:val="21"/>
              </w:rPr>
              <w:t>序号</w:t>
            </w:r>
          </w:p>
        </w:tc>
        <w:tc>
          <w:tcPr>
            <w:tcW w:w="4860" w:type="dxa"/>
            <w:shd w:val="clear" w:color="000000" w:fill="F2F2F2"/>
            <w:vAlign w:val="center"/>
          </w:tcPr>
          <w:p>
            <w:pPr>
              <w:spacing w:line="420" w:lineRule="exact"/>
              <w:jc w:val="center"/>
              <w:rPr>
                <w:rFonts w:ascii="宋体" w:hAnsi="宋体" w:cs="宋体"/>
                <w:b/>
                <w:bCs/>
                <w:szCs w:val="21"/>
              </w:rPr>
            </w:pPr>
            <w:r>
              <w:rPr>
                <w:rFonts w:hint="eastAsia" w:ascii="宋体" w:hAnsi="宋体" w:cs="宋体"/>
                <w:b/>
                <w:bCs/>
                <w:szCs w:val="21"/>
              </w:rPr>
              <w:t>项    目</w:t>
            </w:r>
          </w:p>
        </w:tc>
        <w:tc>
          <w:tcPr>
            <w:tcW w:w="1104" w:type="dxa"/>
            <w:shd w:val="clear" w:color="000000" w:fill="F2F2F2"/>
            <w:vAlign w:val="center"/>
          </w:tcPr>
          <w:p>
            <w:pPr>
              <w:spacing w:line="420" w:lineRule="exact"/>
              <w:jc w:val="center"/>
              <w:rPr>
                <w:rFonts w:ascii="宋体" w:hAnsi="宋体" w:cs="宋体"/>
                <w:b/>
                <w:bCs/>
                <w:szCs w:val="21"/>
              </w:rPr>
            </w:pPr>
            <w:r>
              <w:rPr>
                <w:rFonts w:hint="eastAsia" w:ascii="宋体" w:hAnsi="宋体" w:cs="宋体"/>
                <w:b/>
                <w:bCs/>
                <w:szCs w:val="21"/>
              </w:rPr>
              <w:t>数量</w:t>
            </w:r>
          </w:p>
        </w:tc>
        <w:tc>
          <w:tcPr>
            <w:tcW w:w="1356" w:type="dxa"/>
            <w:shd w:val="clear" w:color="000000" w:fill="F2F2F2"/>
            <w:vAlign w:val="center"/>
          </w:tcPr>
          <w:p>
            <w:pPr>
              <w:spacing w:line="420" w:lineRule="exact"/>
              <w:jc w:val="center"/>
              <w:rPr>
                <w:rFonts w:ascii="宋体" w:hAnsi="宋体" w:cs="宋体"/>
                <w:b/>
                <w:bCs/>
                <w:szCs w:val="21"/>
              </w:rPr>
            </w:pPr>
            <w:r>
              <w:rPr>
                <w:rFonts w:hint="eastAsia" w:ascii="宋体" w:hAnsi="宋体" w:cs="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20" w:type="dxa"/>
            <w:vAlign w:val="center"/>
          </w:tcPr>
          <w:p>
            <w:pPr>
              <w:spacing w:line="420" w:lineRule="exact"/>
              <w:ind w:firstLine="480" w:firstLineChars="200"/>
              <w:rPr>
                <w:rFonts w:ascii="宋体" w:hAnsi="宋体" w:cs="宋体"/>
                <w:sz w:val="24"/>
                <w:szCs w:val="24"/>
              </w:rPr>
            </w:pPr>
            <w:r>
              <w:rPr>
                <w:rFonts w:hint="eastAsia" w:ascii="宋体" w:hAnsi="宋体" w:cs="宋体"/>
                <w:sz w:val="24"/>
                <w:szCs w:val="24"/>
              </w:rPr>
              <w:t>1</w:t>
            </w:r>
          </w:p>
        </w:tc>
        <w:tc>
          <w:tcPr>
            <w:tcW w:w="4860" w:type="dxa"/>
            <w:vAlign w:val="center"/>
          </w:tcPr>
          <w:p>
            <w:pPr>
              <w:pStyle w:val="26"/>
              <w:spacing w:line="420" w:lineRule="exact"/>
              <w:ind w:left="0" w:leftChars="0" w:firstLine="0" w:firstLineChars="0"/>
              <w:jc w:val="both"/>
              <w:rPr>
                <w:rFonts w:ascii="宋体" w:hAnsi="宋体" w:cs="宋体"/>
                <w:sz w:val="24"/>
                <w:szCs w:val="24"/>
              </w:rPr>
            </w:pPr>
            <w:r>
              <w:rPr>
                <w:rFonts w:hint="eastAsia"/>
                <w:sz w:val="24"/>
                <w:szCs w:val="24"/>
              </w:rPr>
              <w:t>江宁医院</w:t>
            </w:r>
            <w:r>
              <w:rPr>
                <w:rFonts w:hint="eastAsia" w:ascii="宋体" w:hAnsi="宋体" w:cs="宋体"/>
                <w:kern w:val="0"/>
                <w:sz w:val="24"/>
                <w:szCs w:val="24"/>
              </w:rPr>
              <w:t>成本核算系统升级与DRGS成本核算</w:t>
            </w:r>
          </w:p>
        </w:tc>
        <w:tc>
          <w:tcPr>
            <w:tcW w:w="1104" w:type="dxa"/>
            <w:vAlign w:val="center"/>
          </w:tcPr>
          <w:p>
            <w:pPr>
              <w:spacing w:line="420" w:lineRule="exact"/>
              <w:jc w:val="center"/>
              <w:rPr>
                <w:rFonts w:ascii="宋体" w:hAnsi="宋体" w:cs="宋体"/>
                <w:sz w:val="24"/>
                <w:szCs w:val="24"/>
              </w:rPr>
            </w:pPr>
            <w:r>
              <w:rPr>
                <w:rFonts w:hint="eastAsia" w:ascii="宋体" w:hAnsi="宋体" w:cs="宋体"/>
                <w:sz w:val="24"/>
                <w:szCs w:val="24"/>
              </w:rPr>
              <w:t>1</w:t>
            </w:r>
          </w:p>
        </w:tc>
        <w:tc>
          <w:tcPr>
            <w:tcW w:w="1356" w:type="dxa"/>
            <w:vAlign w:val="center"/>
          </w:tcPr>
          <w:p>
            <w:pPr>
              <w:spacing w:line="420" w:lineRule="exact"/>
              <w:jc w:val="center"/>
              <w:rPr>
                <w:rFonts w:ascii="宋体" w:hAnsi="宋体" w:cs="宋体"/>
                <w:sz w:val="24"/>
                <w:szCs w:val="24"/>
              </w:rPr>
            </w:pPr>
            <w:r>
              <w:rPr>
                <w:rFonts w:hint="eastAsia" w:ascii="宋体" w:hAnsi="宋体" w:cs="宋体"/>
                <w:sz w:val="24"/>
                <w:szCs w:val="24"/>
              </w:rPr>
              <w:t>套</w:t>
            </w:r>
          </w:p>
        </w:tc>
      </w:tr>
    </w:tbl>
    <w:p>
      <w:pPr>
        <w:pStyle w:val="31"/>
        <w:spacing w:line="420" w:lineRule="exact"/>
        <w:ind w:firstLine="0" w:firstLineChars="0"/>
        <w:jc w:val="center"/>
        <w:rPr>
          <w:rFonts w:ascii="宋体" w:hAnsi="宋体"/>
          <w:b/>
          <w:kern w:val="0"/>
          <w:sz w:val="21"/>
          <w:szCs w:val="21"/>
        </w:rPr>
      </w:pPr>
    </w:p>
    <w:p>
      <w:pPr>
        <w:pStyle w:val="31"/>
        <w:numPr>
          <w:ilvl w:val="0"/>
          <w:numId w:val="3"/>
        </w:numPr>
        <w:spacing w:line="420" w:lineRule="exact"/>
        <w:ind w:firstLine="0" w:firstLineChars="0"/>
        <w:rPr>
          <w:rFonts w:ascii="宋体" w:hAnsi="宋体"/>
          <w:b/>
          <w:kern w:val="0"/>
          <w:sz w:val="24"/>
          <w:szCs w:val="24"/>
        </w:rPr>
      </w:pPr>
      <w:r>
        <w:rPr>
          <w:rFonts w:hint="eastAsia" w:ascii="宋体" w:hAnsi="宋体"/>
          <w:b/>
          <w:kern w:val="0"/>
          <w:sz w:val="24"/>
          <w:szCs w:val="24"/>
        </w:rPr>
        <w:t>招标参数</w:t>
      </w:r>
    </w:p>
    <w:p>
      <w:pPr>
        <w:spacing w:line="420" w:lineRule="exact"/>
        <w:rPr>
          <w:rFonts w:ascii="宋体" w:hAnsi="宋体" w:cs="宋体"/>
          <w:b/>
          <w:bCs/>
          <w:color w:val="000000"/>
          <w:kern w:val="0"/>
          <w:szCs w:val="21"/>
        </w:rPr>
      </w:pPr>
      <w:r>
        <w:rPr>
          <w:rFonts w:hint="eastAsia" w:ascii="宋体" w:hAnsi="宋体" w:cs="宋体"/>
          <w:b/>
          <w:bCs/>
          <w:color w:val="000000"/>
          <w:kern w:val="0"/>
          <w:szCs w:val="21"/>
        </w:rPr>
        <w:t>（一）</w:t>
      </w:r>
      <w:r>
        <w:rPr>
          <w:rFonts w:hint="eastAsia" w:ascii="宋体" w:hAnsi="宋体" w:cs="宋体"/>
          <w:b/>
          <w:bCs/>
          <w:color w:val="000000"/>
          <w:kern w:val="0"/>
          <w:sz w:val="24"/>
          <w:szCs w:val="24"/>
        </w:rPr>
        <w:t>总体要求</w:t>
      </w:r>
    </w:p>
    <w:p>
      <w:pPr>
        <w:pStyle w:val="34"/>
        <w:spacing w:line="360" w:lineRule="auto"/>
        <w:rPr>
          <w:rFonts w:hint="eastAsia" w:ascii="宋体" w:hAnsi="宋体" w:eastAsia="宋体" w:cs="宋体"/>
          <w:sz w:val="24"/>
          <w:szCs w:val="24"/>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eastAsia="宋体" w:cs="宋体"/>
          <w:sz w:val="24"/>
          <w:szCs w:val="24"/>
        </w:rPr>
        <w:t>数据库采用SQL Server、Oracle等主流数据库。</w:t>
      </w:r>
    </w:p>
    <w:p>
      <w:pPr>
        <w:pStyle w:val="34"/>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）稳定性：在大量用户同时并发访问情况下保持系统稳定。</w:t>
      </w:r>
    </w:p>
    <w:p>
      <w:pPr>
        <w:pStyle w:val="34"/>
        <w:spacing w:line="360" w:lineRule="auto"/>
        <w:ind w:left="420" w:firstLine="0" w:firstLineChars="0"/>
        <w:rPr>
          <w:rFonts w:hint="eastAsia" w:ascii="宋体" w:hAnsi="宋体" w:eastAsia="宋体" w:cs="宋体"/>
          <w:sz w:val="24"/>
          <w:szCs w:val="24"/>
        </w:rPr>
      </w:pPr>
      <w:r>
        <w:rPr>
          <w:rFonts w:hint="eastAsia" w:ascii="宋体" w:hAnsi="宋体" w:eastAsia="宋体" w:cs="宋体"/>
          <w:sz w:val="24"/>
          <w:szCs w:val="24"/>
        </w:rPr>
        <w:t xml:space="preserve">   </w:t>
      </w:r>
    </w:p>
    <w:p>
      <w:pPr>
        <w:pStyle w:val="31"/>
        <w:numPr>
          <w:ilvl w:val="0"/>
          <w:numId w:val="4"/>
        </w:numPr>
        <w:spacing w:line="420" w:lineRule="exact"/>
        <w:ind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系统功能技术参数要求</w:t>
      </w:r>
    </w:p>
    <w:tbl>
      <w:tblPr>
        <w:tblStyle w:val="21"/>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67"/>
        <w:gridCol w:w="1134"/>
        <w:gridCol w:w="1134"/>
        <w:gridCol w:w="6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89" w:hRule="atLeast"/>
          <w:jc w:val="center"/>
        </w:trPr>
        <w:tc>
          <w:tcPr>
            <w:tcW w:w="567" w:type="dxa"/>
            <w:tcBorders>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134" w:type="dxa"/>
            <w:tcBorders>
              <w:lef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升级/功能模块</w:t>
            </w:r>
          </w:p>
        </w:tc>
        <w:tc>
          <w:tcPr>
            <w:tcW w:w="1134" w:type="dxa"/>
            <w:tcBorders>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升级内容/功能列表</w:t>
            </w:r>
          </w:p>
        </w:tc>
        <w:tc>
          <w:tcPr>
            <w:tcW w:w="6804" w:type="dxa"/>
            <w:tcBorders>
              <w:lef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功能要求说明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 w:hRule="atLeast"/>
          <w:jc w:val="center"/>
        </w:trPr>
        <w:tc>
          <w:tcPr>
            <w:tcW w:w="567" w:type="dxa"/>
            <w:vMerge w:val="restart"/>
            <w:tcBorders>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134" w:type="dxa"/>
            <w:vMerge w:val="restart"/>
            <w:tcBorders>
              <w:lef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成本核算系统升级</w:t>
            </w:r>
          </w:p>
        </w:tc>
        <w:tc>
          <w:tcPr>
            <w:tcW w:w="1134" w:type="dxa"/>
            <w:vMerge w:val="restart"/>
            <w:tcBorders>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基础体系分类更新</w:t>
            </w:r>
          </w:p>
        </w:tc>
        <w:tc>
          <w:tcPr>
            <w:tcW w:w="6804" w:type="dxa"/>
            <w:tcBorders>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★（1）责任中心定义增加三个分类：国标分类、国标分类2、服务单元分类；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6804" w:type="dxa"/>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（2）支出项目定义增加两个分类：列支渠道、成本口径；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6804" w:type="dxa"/>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（3）项目成本基础定义增加国标分类；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10"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6804" w:type="dxa"/>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（4）新增DRG基础定义界面：获取DRG接口数据，更新病人的DRG分组信息，满足DRG成本报表的需要；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restart"/>
            <w:tcBorders>
              <w:top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报表功能提升</w:t>
            </w:r>
          </w:p>
        </w:tc>
        <w:tc>
          <w:tcPr>
            <w:tcW w:w="6804" w:type="dxa"/>
            <w:tcBorders>
              <w:top w:val="single" w:color="auto" w:sz="4" w:space="0"/>
              <w:left w:val="single" w:color="auto" w:sz="4" w:space="0"/>
              <w:bottom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根据规范中附件2中的报表格式要求，通过规范源头数据存储过程，拆分细化支出项目列支渠道及科室国标分类，产生对内对外的标准报表格式；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6804" w:type="dxa"/>
            <w:tcBorders>
              <w:top w:val="single" w:color="auto" w:sz="4" w:space="0"/>
              <w:left w:val="single" w:color="auto" w:sz="4" w:space="0"/>
              <w:bottom w:val="single" w:color="auto" w:sz="4" w:space="0"/>
            </w:tcBorders>
            <w:shd w:val="clear" w:color="auto" w:fill="auto"/>
          </w:tcPr>
          <w:p>
            <w:pPr>
              <w:rPr>
                <w:rFonts w:hint="eastAsia" w:ascii="宋体" w:hAnsi="宋体" w:eastAsia="宋体" w:cs="宋体"/>
                <w:sz w:val="24"/>
                <w:szCs w:val="24"/>
              </w:rPr>
            </w:pPr>
            <w:r>
              <w:rPr>
                <w:rFonts w:hint="eastAsia" w:ascii="宋体" w:hAnsi="宋体" w:eastAsia="宋体" w:cs="宋体"/>
                <w:sz w:val="24"/>
                <w:szCs w:val="24"/>
              </w:rPr>
              <w:t xml:space="preserve">（1）增加国标18种报表。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5"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6804" w:type="dxa"/>
            <w:tcBorders>
              <w:top w:val="single" w:color="auto" w:sz="4" w:space="0"/>
              <w:left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★（2）国标报表中增加选项，同时用于内部的需要；如：科室分类选择、成本口径、院区、科室级别、单位成本总成本的选择等；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restart"/>
            <w:tcBorders>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项目病种成本报表升级</w:t>
            </w:r>
          </w:p>
        </w:tc>
        <w:tc>
          <w:tcPr>
            <w:tcW w:w="6804" w:type="dxa"/>
            <w:tcBorders>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根据报表中《医院医疗服务项目成本汇总表》项目类别定义项目分类规则，拆分医疗收费项目对应分类，增加报表查询功能；增加DRGS成本分配及相关查询报表；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6804" w:type="dxa"/>
            <w:tcBorders>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（1）项目成本与报表国标分类的对照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6804" w:type="dxa"/>
            <w:tcBorders>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★（2）病种成本增加按科室病种分析，病种科室的分析表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p>
        </w:tc>
        <w:tc>
          <w:tcPr>
            <w:tcW w:w="6804" w:type="dxa"/>
            <w:tcBorders>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（3）项目成本、病种成本报表增加“成本口径”选项；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tcBorders>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与HIS系统数据对接</w:t>
            </w:r>
          </w:p>
        </w:tc>
        <w:tc>
          <w:tcPr>
            <w:tcW w:w="6804" w:type="dxa"/>
            <w:tcBorders>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获取门诊收入、住院收入、业务量、医技执行收入、药剂执行收入、病人诊断信息等业务数据。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tcBorders>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与财务核算软件对接</w:t>
            </w:r>
          </w:p>
        </w:tc>
        <w:tc>
          <w:tcPr>
            <w:tcW w:w="6804" w:type="dxa"/>
            <w:tcBorders>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生成财务凭证传送到财务核算软件。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00" w:hRule="atLeast"/>
          <w:jc w:val="center"/>
        </w:trPr>
        <w:tc>
          <w:tcPr>
            <w:tcW w:w="567" w:type="dxa"/>
            <w:vMerge w:val="restart"/>
            <w:tcBorders>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134" w:type="dxa"/>
            <w:vMerge w:val="restart"/>
            <w:tcBorders>
              <w:lef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DRG成本核算系统</w:t>
            </w:r>
          </w:p>
        </w:tc>
        <w:tc>
          <w:tcPr>
            <w:tcW w:w="1134" w:type="dxa"/>
            <w:tcBorders>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DRG基础定义界面</w:t>
            </w:r>
          </w:p>
        </w:tc>
        <w:tc>
          <w:tcPr>
            <w:tcW w:w="6804" w:type="dxa"/>
            <w:tcBorders>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获取DRG接口数据，更新病人的DRG分组信息，满足DRG成本报表的需要；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5" w:hRule="atLeast"/>
          <w:jc w:val="center"/>
        </w:trPr>
        <w:tc>
          <w:tcPr>
            <w:tcW w:w="567" w:type="dxa"/>
            <w:vMerge w:val="continue"/>
            <w:tcBorders>
              <w:righ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vMerge w:val="continue"/>
            <w:tcBorders>
              <w:left w:val="single" w:color="auto" w:sz="4" w:space="0"/>
            </w:tcBorders>
            <w:shd w:val="clear" w:color="auto" w:fill="auto"/>
            <w:vAlign w:val="center"/>
          </w:tcPr>
          <w:p>
            <w:pPr>
              <w:jc w:val="center"/>
              <w:rPr>
                <w:rFonts w:hint="eastAsia" w:ascii="宋体" w:hAnsi="宋体" w:eastAsia="宋体" w:cs="宋体"/>
                <w:sz w:val="24"/>
                <w:szCs w:val="24"/>
              </w:rPr>
            </w:pPr>
          </w:p>
        </w:tc>
        <w:tc>
          <w:tcPr>
            <w:tcW w:w="1134" w:type="dxa"/>
            <w:tcBorders>
              <w:top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DRG成本报表</w:t>
            </w:r>
          </w:p>
        </w:tc>
        <w:tc>
          <w:tcPr>
            <w:tcW w:w="6804" w:type="dxa"/>
            <w:tcBorders>
              <w:top w:val="single" w:color="auto" w:sz="4" w:space="0"/>
              <w:left w:val="single" w:color="auto" w:sz="4" w:space="0"/>
              <w:bottom w:val="single" w:color="auto" w:sz="4" w:space="0"/>
            </w:tcBorders>
            <w:shd w:val="clear" w:color="auto" w:fill="auto"/>
            <w:vAlign w:val="center"/>
          </w:tcPr>
          <w:p>
            <w:pPr>
              <w:rPr>
                <w:rFonts w:hint="eastAsia" w:ascii="宋体" w:hAnsi="宋体" w:eastAsia="宋体" w:cs="宋体"/>
                <w:sz w:val="24"/>
                <w:szCs w:val="24"/>
              </w:rPr>
            </w:pPr>
            <w:r>
              <w:rPr>
                <w:rFonts w:hint="eastAsia" w:ascii="宋体" w:hAnsi="宋体" w:eastAsia="宋体" w:cs="宋体"/>
                <w:sz w:val="24"/>
                <w:szCs w:val="24"/>
              </w:rPr>
              <w:t xml:space="preserve">★主要包括DRG成本明细表、DRG成本构成明细表和医院服务单元DRG成本构成明细表。 </w:t>
            </w:r>
          </w:p>
        </w:tc>
      </w:tr>
    </w:tbl>
    <w:p>
      <w:pPr>
        <w:spacing w:before="120" w:line="420" w:lineRule="exact"/>
        <w:jc w:val="left"/>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注：标★为关键指标项，为必展示内容，需提供截图，如不满足要求严重负偏离影响投标产品服务、性能的，经半数以上评委认定，本项不得分。</w:t>
      </w:r>
    </w:p>
    <w:p>
      <w:pPr>
        <w:pStyle w:val="5"/>
        <w:spacing w:line="420" w:lineRule="exact"/>
        <w:rPr>
          <w:rFonts w:hint="eastAsia" w:ascii="宋体" w:hAnsi="宋体" w:eastAsia="宋体" w:cs="宋体"/>
          <w:sz w:val="24"/>
          <w:szCs w:val="24"/>
        </w:rPr>
      </w:pPr>
    </w:p>
    <w:p>
      <w:pPr>
        <w:pStyle w:val="15"/>
        <w:spacing w:line="420" w:lineRule="exact"/>
        <w:rPr>
          <w:rFonts w:hint="eastAsia" w:ascii="宋体" w:hAnsi="宋体" w:eastAsia="宋体" w:cs="宋体"/>
          <w:sz w:val="24"/>
          <w:szCs w:val="24"/>
        </w:rPr>
      </w:pPr>
    </w:p>
    <w:p>
      <w:pPr>
        <w:pStyle w:val="31"/>
        <w:spacing w:line="420" w:lineRule="exact"/>
        <w:ind w:firstLine="0" w:firstLineChars="0"/>
        <w:rPr>
          <w:rFonts w:hint="eastAsia" w:ascii="宋体" w:hAnsi="宋体" w:eastAsia="宋体" w:cs="宋体"/>
          <w:b/>
          <w:kern w:val="0"/>
          <w:sz w:val="24"/>
          <w:szCs w:val="24"/>
        </w:rPr>
      </w:pPr>
      <w:r>
        <w:rPr>
          <w:rFonts w:hint="eastAsia" w:ascii="宋体" w:hAnsi="宋体" w:eastAsia="宋体" w:cs="宋体"/>
          <w:b/>
          <w:kern w:val="0"/>
          <w:sz w:val="24"/>
          <w:szCs w:val="24"/>
        </w:rPr>
        <w:t>四、实施及售后服务要求：</w:t>
      </w:r>
    </w:p>
    <w:p>
      <w:pPr>
        <w:spacing w:line="420" w:lineRule="exact"/>
        <w:jc w:val="left"/>
        <w:rPr>
          <w:rFonts w:hint="eastAsia" w:ascii="宋体" w:hAnsi="宋体" w:eastAsia="宋体" w:cs="宋体"/>
          <w:b/>
          <w:color w:val="000000"/>
          <w:spacing w:val="6"/>
          <w:kern w:val="48"/>
          <w:sz w:val="24"/>
          <w:szCs w:val="24"/>
        </w:rPr>
      </w:pPr>
      <w:r>
        <w:rPr>
          <w:rFonts w:hint="eastAsia" w:ascii="宋体" w:hAnsi="宋体" w:eastAsia="宋体" w:cs="宋体"/>
          <w:b/>
          <w:color w:val="000000"/>
          <w:spacing w:val="6"/>
          <w:kern w:val="48"/>
          <w:sz w:val="24"/>
          <w:szCs w:val="24"/>
        </w:rPr>
        <w:t>（1）实施管理要求</w:t>
      </w:r>
    </w:p>
    <w:p>
      <w:pPr>
        <w:adjustRightInd w:val="0"/>
        <w:snapToGrid w:val="0"/>
        <w:spacing w:line="360" w:lineRule="auto"/>
        <w:ind w:firstLine="481" w:firstLineChars="191"/>
        <w:jc w:val="left"/>
        <w:rPr>
          <w:rFonts w:hint="eastAsia" w:ascii="宋体" w:hAnsi="宋体" w:eastAsia="宋体" w:cs="宋体"/>
          <w:color w:val="000000"/>
          <w:spacing w:val="6"/>
          <w:kern w:val="48"/>
          <w:sz w:val="24"/>
          <w:szCs w:val="24"/>
        </w:rPr>
      </w:pPr>
      <w:r>
        <w:rPr>
          <w:rFonts w:hint="eastAsia" w:ascii="宋体" w:hAnsi="宋体" w:eastAsia="宋体" w:cs="宋体"/>
          <w:color w:val="000000"/>
          <w:spacing w:val="6"/>
          <w:kern w:val="48"/>
          <w:sz w:val="24"/>
          <w:szCs w:val="24"/>
        </w:rPr>
        <w:t>1、供应商应提供高质量的实施团队，并尽快在规定的时间内完成项目的实施工作，确保软件可以按时上线运行</w:t>
      </w:r>
    </w:p>
    <w:p>
      <w:pPr>
        <w:pStyle w:val="2"/>
        <w:adjustRightInd w:val="0"/>
        <w:snapToGrid w:val="0"/>
        <w:spacing w:line="360" w:lineRule="auto"/>
        <w:ind w:left="0"/>
        <w:rPr>
          <w:rFonts w:hint="eastAsia" w:ascii="宋体" w:hAnsi="宋体" w:eastAsia="宋体" w:cs="宋体"/>
          <w:sz w:val="24"/>
          <w:szCs w:val="24"/>
        </w:rPr>
      </w:pPr>
      <w:r>
        <w:rPr>
          <w:rFonts w:hint="eastAsia" w:ascii="宋体" w:hAnsi="宋体" w:eastAsia="宋体" w:cs="宋体"/>
          <w:sz w:val="24"/>
          <w:szCs w:val="24"/>
        </w:rPr>
        <w:t>2、实施内容</w:t>
      </w:r>
    </w:p>
    <w:p>
      <w:pPr>
        <w:pStyle w:val="2"/>
        <w:adjustRightInd w:val="0"/>
        <w:snapToGrid w:val="0"/>
        <w:spacing w:line="360" w:lineRule="auto"/>
        <w:ind w:left="0"/>
        <w:rPr>
          <w:rFonts w:hint="eastAsia" w:ascii="宋体" w:hAnsi="宋体" w:eastAsia="宋体" w:cs="宋体"/>
          <w:sz w:val="24"/>
          <w:szCs w:val="24"/>
        </w:rPr>
      </w:pPr>
      <w:r>
        <w:rPr>
          <w:rFonts w:hint="eastAsia" w:ascii="宋体" w:hAnsi="宋体" w:eastAsia="宋体" w:cs="宋体"/>
          <w:sz w:val="24"/>
          <w:szCs w:val="24"/>
        </w:rPr>
        <w:t>2.1 完成“成本核算系统升级与DRGS成本核算系统”，由专业技术人员上门安装、调试、配置系统。</w:t>
      </w:r>
    </w:p>
    <w:p>
      <w:pPr>
        <w:pStyle w:val="2"/>
        <w:adjustRightInd w:val="0"/>
        <w:snapToGrid w:val="0"/>
        <w:spacing w:line="360" w:lineRule="auto"/>
        <w:ind w:left="0"/>
        <w:rPr>
          <w:rFonts w:hint="eastAsia" w:ascii="宋体" w:hAnsi="宋体" w:eastAsia="宋体" w:cs="宋体"/>
          <w:sz w:val="24"/>
          <w:szCs w:val="24"/>
        </w:rPr>
      </w:pPr>
      <w:r>
        <w:rPr>
          <w:rFonts w:hint="eastAsia" w:ascii="宋体" w:hAnsi="宋体" w:eastAsia="宋体" w:cs="宋体"/>
          <w:sz w:val="24"/>
          <w:szCs w:val="24"/>
        </w:rPr>
        <w:t>2.2 培训相关操作和管理人员，保障工作人员能熟练操作本项目系统，制定培训计划，包括但不限于（1）对院领导、科主任、归口负责人、科室人员等不同对象的培训计划；（2）培训课程安排、培训方式由原厂商提供，时间、地点及场所由医院提供;（3）提供系统操作培训：主要面向使用系统的人员，提供操作培训。</w:t>
      </w:r>
    </w:p>
    <w:p>
      <w:pPr>
        <w:pStyle w:val="3"/>
        <w:spacing w:line="420" w:lineRule="exact"/>
        <w:rPr>
          <w:rFonts w:hint="eastAsia" w:ascii="宋体" w:hAnsi="宋体" w:eastAsia="宋体" w:cs="宋体"/>
          <w:bCs w:val="0"/>
          <w:color w:val="000000"/>
          <w:spacing w:val="6"/>
          <w:kern w:val="48"/>
          <w:sz w:val="24"/>
          <w:szCs w:val="24"/>
          <w:lang w:val="en-US"/>
        </w:rPr>
      </w:pPr>
      <w:r>
        <w:rPr>
          <w:rFonts w:hint="eastAsia" w:ascii="宋体" w:hAnsi="宋体" w:eastAsia="宋体" w:cs="宋体"/>
          <w:bCs w:val="0"/>
          <w:color w:val="000000"/>
          <w:spacing w:val="6"/>
          <w:kern w:val="48"/>
          <w:sz w:val="24"/>
          <w:szCs w:val="24"/>
          <w:lang w:val="en-US"/>
        </w:rPr>
        <w:t>（2）</w:t>
      </w:r>
      <w:bookmarkStart w:id="0" w:name="_Toc30206"/>
      <w:bookmarkStart w:id="1" w:name="_Toc75796287"/>
      <w:r>
        <w:rPr>
          <w:rFonts w:hint="eastAsia" w:ascii="宋体" w:hAnsi="宋体" w:eastAsia="宋体" w:cs="宋体"/>
          <w:bCs w:val="0"/>
          <w:color w:val="000000"/>
          <w:spacing w:val="6"/>
          <w:kern w:val="48"/>
          <w:sz w:val="24"/>
          <w:szCs w:val="24"/>
          <w:lang w:val="en-US"/>
        </w:rPr>
        <w:t>售后服务要求</w:t>
      </w:r>
      <w:bookmarkEnd w:id="0"/>
      <w:bookmarkEnd w:id="1"/>
      <w:bookmarkStart w:id="2" w:name="_Toc12552"/>
    </w:p>
    <w:bookmarkEnd w:id="2"/>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1、售后服务机制</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1.1.供应商应提供全方位的服务，包括：技术咨询、操作培训、系统维护、数据库调优等。</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1.2.有专门的服务队伍，以确保服务畅通和高效，实行项目经理负责制。</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1.3.有完备的跟踪服务制度，通过定期的电话回访、走访等方式对服务进行跟踪，以保证客户满意。</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2、售后服务体系</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2.1.供应商应拥有专业的开发团队，在项目实施前后为用户提供一致的技术支持体验，其中包括技术咨询、实施指导、运行维护和定期回访等，能解决项目运行过程中的技术问题。</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2.2对项目实行“首问负责制”，即对于采购人所提出的需要解决和服务的问题，只要将该问题对售后服务部门内任何一位员工反映即可得到主动式服务。</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3、售后服务方式</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3.1.电话支持，为使用方提供 7×24 小时的全方位服务，除了提供公司的技术服务支持电话外，还应注明项目主要技术成员的移动电话，用于双方及时沟通并解决问题，电话支持即时响应。</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3.2.现场服务，对于电话不能很好解决及其他必须亲临现场服务的内容，供应商应在第一时间根据具体情况迅速安排人员24小时内快速到达现场提供服务。</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3.3远程服务，供应商可借助网络工具远程实时维护系统，如 QQ、微信远程协助等功能对采购人系统进行远程实时系统维护及操作指导，帮助采购人快速解决遇到的大多数软件及系统方面的问题。</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4、售后服务范围</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4.1.提供相关帮助文档，开展相关培训；</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4.2.日常运行中的故障排除及维护；系统所处网络环境、主机及其他外设适配带来的调整工作；系统与其他软件适配带来的调整工作；</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4.3.其他可通过远程协助解决的技术问题；</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5、质保期：供应商应确保本次采购的所有产品安全稳定的运行，并承诺提供3年免费质保服务（自验收报告签字确认日起，开始进入质保期）</w:t>
      </w:r>
    </w:p>
    <w:p>
      <w:pPr>
        <w:pStyle w:val="26"/>
        <w:spacing w:line="420" w:lineRule="exact"/>
        <w:ind w:firstLine="46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rPr>
        <w:t>报价说明：</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（2）供应商的任何错漏、优惠、竞争性报价不得作为减轻责任、减少服务、增加收费、降低服务质量的理由。</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（3）供应商报价除包含采购文件中列明的项目外还应包括保障服务正常运行应当具有的物资和服务，对服务正常运行应当具有的物资和服务理解不一致的以采购人理解为准。</w:t>
      </w:r>
    </w:p>
    <w:p>
      <w:pPr>
        <w:pStyle w:val="26"/>
        <w:spacing w:line="420" w:lineRule="exact"/>
        <w:ind w:firstLine="460"/>
        <w:rPr>
          <w:rFonts w:hint="eastAsia" w:ascii="宋体" w:hAnsi="宋体" w:eastAsia="宋体" w:cs="宋体"/>
          <w:b/>
          <w:bCs w:val="0"/>
          <w:sz w:val="24"/>
          <w:szCs w:val="24"/>
        </w:rPr>
      </w:pPr>
      <w:bookmarkStart w:id="3" w:name="_GoBack"/>
      <w:r>
        <w:rPr>
          <w:rFonts w:hint="eastAsia" w:ascii="宋体" w:hAnsi="宋体" w:eastAsia="宋体" w:cs="宋体"/>
          <w:b/>
          <w:bCs w:val="0"/>
          <w:sz w:val="24"/>
          <w:szCs w:val="24"/>
          <w:lang w:val="en-US" w:eastAsia="zh-CN"/>
        </w:rPr>
        <w:t>六</w:t>
      </w:r>
      <w:r>
        <w:rPr>
          <w:rFonts w:hint="eastAsia" w:ascii="宋体" w:hAnsi="宋体" w:eastAsia="宋体" w:cs="宋体"/>
          <w:b/>
          <w:bCs w:val="0"/>
          <w:sz w:val="24"/>
          <w:szCs w:val="24"/>
        </w:rPr>
        <w:t>、付款条件：</w:t>
      </w:r>
    </w:p>
    <w:bookmarkEnd w:id="3"/>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（1）履约保证金：不涉及</w:t>
      </w:r>
    </w:p>
    <w:p>
      <w:pPr>
        <w:pStyle w:val="26"/>
        <w:spacing w:line="420" w:lineRule="exact"/>
        <w:ind w:firstLine="460"/>
        <w:rPr>
          <w:rFonts w:hint="eastAsia" w:ascii="宋体" w:hAnsi="宋体" w:eastAsia="宋体" w:cs="宋体"/>
          <w:sz w:val="24"/>
          <w:szCs w:val="24"/>
        </w:rPr>
      </w:pPr>
      <w:r>
        <w:rPr>
          <w:rFonts w:hint="eastAsia" w:ascii="宋体" w:hAnsi="宋体" w:eastAsia="宋体" w:cs="宋体"/>
          <w:sz w:val="24"/>
          <w:szCs w:val="24"/>
        </w:rPr>
        <w:t>（2）付款方式：合同签订后付款30%，项目交付完成后付款60%，质保期满一年后付款10%。</w:t>
      </w:r>
    </w:p>
    <w:p>
      <w:pPr>
        <w:pStyle w:val="8"/>
        <w:jc w:val="center"/>
        <w:rPr>
          <w:rFonts w:hint="eastAsia" w:ascii="宋体" w:hAnsi="宋体" w:eastAsia="宋体" w:cs="宋体"/>
          <w:b/>
          <w:kern w:val="0"/>
          <w:sz w:val="28"/>
          <w:szCs w:val="28"/>
          <w:lang w:val="en-US" w:eastAsia="zh-CN" w:bidi="ar-SA"/>
        </w:rPr>
      </w:pPr>
    </w:p>
    <w:p>
      <w:pPr>
        <w:pStyle w:val="9"/>
        <w:rPr>
          <w:rFonts w:hint="default"/>
          <w:lang w:val="en-US" w:eastAsia="zh-CN"/>
        </w:rPr>
      </w:pPr>
    </w:p>
    <w:sectPr>
      <w:pgSz w:w="11906" w:h="16838"/>
      <w:pgMar w:top="1134" w:right="1701" w:bottom="85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0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B8750"/>
    <w:multiLevelType w:val="singleLevel"/>
    <w:tmpl w:val="B1CB8750"/>
    <w:lvl w:ilvl="0" w:tentative="0">
      <w:start w:val="3"/>
      <w:numFmt w:val="chineseCounting"/>
      <w:suff w:val="nothing"/>
      <w:lvlText w:val="%1、"/>
      <w:lvlJc w:val="left"/>
      <w:rPr>
        <w:rFonts w:hint="eastAsia"/>
      </w:rPr>
    </w:lvl>
  </w:abstractNum>
  <w:abstractNum w:abstractNumId="1">
    <w:nsid w:val="3514CDFC"/>
    <w:multiLevelType w:val="singleLevel"/>
    <w:tmpl w:val="3514CDFC"/>
    <w:lvl w:ilvl="0" w:tentative="0">
      <w:start w:val="2"/>
      <w:numFmt w:val="chineseCounting"/>
      <w:suff w:val="nothing"/>
      <w:lvlText w:val="（%1）"/>
      <w:lvlJc w:val="left"/>
      <w:rPr>
        <w:rFonts w:hint="eastAsia"/>
      </w:rPr>
    </w:lvl>
  </w:abstractNum>
  <w:abstractNum w:abstractNumId="2">
    <w:nsid w:val="374F01DF"/>
    <w:multiLevelType w:val="multilevel"/>
    <w:tmpl w:val="374F01DF"/>
    <w:lvl w:ilvl="0" w:tentative="0">
      <w:start w:val="1"/>
      <w:numFmt w:val="japaneseCounting"/>
      <w:lvlText w:val="第%1章"/>
      <w:lvlJc w:val="left"/>
      <w:pPr>
        <w:ind w:left="1215" w:hanging="12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C7E052A"/>
    <w:multiLevelType w:val="multilevel"/>
    <w:tmpl w:val="5C7E052A"/>
    <w:lvl w:ilvl="0" w:tentative="0">
      <w:start w:val="1"/>
      <w:numFmt w:val="chineseCountingThousand"/>
      <w:lvlText w:val="%1、"/>
      <w:lvlJc w:val="left"/>
      <w:pPr>
        <w:ind w:left="425" w:hanging="425"/>
      </w:pPr>
      <w:rPr>
        <w:rFonts w:hint="eastAsia"/>
        <w:color w:val="auto"/>
      </w:rPr>
    </w:lvl>
    <w:lvl w:ilvl="1" w:tentative="0">
      <w:start w:val="1"/>
      <w:numFmt w:val="decimal"/>
      <w:isLgl/>
      <w:lvlText w:val="%1.%2"/>
      <w:lvlJc w:val="left"/>
      <w:pPr>
        <w:ind w:left="397" w:hanging="397"/>
      </w:pPr>
      <w:rPr>
        <w:rFonts w:hint="eastAsia"/>
      </w:rPr>
    </w:lvl>
    <w:lvl w:ilvl="2" w:tentative="0">
      <w:start w:val="1"/>
      <w:numFmt w:val="chineseCountingThousand"/>
      <w:pStyle w:val="6"/>
      <w:isLgl/>
      <w:lvlText w:val="%1.%2.%3"/>
      <w:lvlJc w:val="left"/>
      <w:pPr>
        <w:tabs>
          <w:tab w:val="left" w:pos="794"/>
        </w:tabs>
        <w:ind w:left="397" w:hanging="397"/>
      </w:pPr>
      <w:rPr>
        <w:rFonts w:hint="eastAsia"/>
      </w:rPr>
    </w:lvl>
    <w:lvl w:ilvl="3" w:tentative="0">
      <w:start w:val="1"/>
      <w:numFmt w:val="decimal"/>
      <w:isLgl/>
      <w:lvlText w:val="%1.%2.%3.%4"/>
      <w:lvlJc w:val="left"/>
      <w:pPr>
        <w:ind w:left="397" w:hanging="397"/>
      </w:pPr>
      <w:rPr>
        <w:rFonts w:hint="eastAsia"/>
      </w:rPr>
    </w:lvl>
    <w:lvl w:ilvl="4" w:tentative="0">
      <w:start w:val="1"/>
      <w:numFmt w:val="decimal"/>
      <w:isLgl/>
      <w:lvlText w:val="%1.%2.%3.%4.%5"/>
      <w:lvlJc w:val="left"/>
      <w:pPr>
        <w:ind w:left="397" w:hanging="397"/>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1D01BD"/>
    <w:rsid w:val="00026349"/>
    <w:rsid w:val="00030F32"/>
    <w:rsid w:val="00050FC1"/>
    <w:rsid w:val="000D3667"/>
    <w:rsid w:val="000D55BA"/>
    <w:rsid w:val="000F12DA"/>
    <w:rsid w:val="00100D7D"/>
    <w:rsid w:val="0010674D"/>
    <w:rsid w:val="00127C60"/>
    <w:rsid w:val="001455FB"/>
    <w:rsid w:val="001533FC"/>
    <w:rsid w:val="00174439"/>
    <w:rsid w:val="001A6744"/>
    <w:rsid w:val="001C471A"/>
    <w:rsid w:val="001C52C2"/>
    <w:rsid w:val="001D01BD"/>
    <w:rsid w:val="001D717A"/>
    <w:rsid w:val="00210D97"/>
    <w:rsid w:val="00220B06"/>
    <w:rsid w:val="00271742"/>
    <w:rsid w:val="00295CA5"/>
    <w:rsid w:val="002C318E"/>
    <w:rsid w:val="002D1642"/>
    <w:rsid w:val="002F677F"/>
    <w:rsid w:val="00354444"/>
    <w:rsid w:val="00396053"/>
    <w:rsid w:val="003964EF"/>
    <w:rsid w:val="003B3CD5"/>
    <w:rsid w:val="003C53EF"/>
    <w:rsid w:val="004060CC"/>
    <w:rsid w:val="00407202"/>
    <w:rsid w:val="00426BF6"/>
    <w:rsid w:val="00443342"/>
    <w:rsid w:val="004612F6"/>
    <w:rsid w:val="004627CE"/>
    <w:rsid w:val="00492D7A"/>
    <w:rsid w:val="004A7281"/>
    <w:rsid w:val="00517A88"/>
    <w:rsid w:val="005400B1"/>
    <w:rsid w:val="005770D8"/>
    <w:rsid w:val="005C6AA8"/>
    <w:rsid w:val="005C7A7F"/>
    <w:rsid w:val="005E7321"/>
    <w:rsid w:val="00601A96"/>
    <w:rsid w:val="00606A42"/>
    <w:rsid w:val="006154DA"/>
    <w:rsid w:val="0064623B"/>
    <w:rsid w:val="006521CA"/>
    <w:rsid w:val="00662311"/>
    <w:rsid w:val="006A611E"/>
    <w:rsid w:val="006C3FEA"/>
    <w:rsid w:val="006D03D6"/>
    <w:rsid w:val="006E08E1"/>
    <w:rsid w:val="00701F0A"/>
    <w:rsid w:val="00756EC5"/>
    <w:rsid w:val="00780935"/>
    <w:rsid w:val="007F1D42"/>
    <w:rsid w:val="007F4943"/>
    <w:rsid w:val="0080364D"/>
    <w:rsid w:val="008310F4"/>
    <w:rsid w:val="00842B4C"/>
    <w:rsid w:val="008730BD"/>
    <w:rsid w:val="0087659C"/>
    <w:rsid w:val="0088569E"/>
    <w:rsid w:val="008B50E1"/>
    <w:rsid w:val="008D50AB"/>
    <w:rsid w:val="009006AE"/>
    <w:rsid w:val="0090613E"/>
    <w:rsid w:val="009171F0"/>
    <w:rsid w:val="00930C42"/>
    <w:rsid w:val="0096076C"/>
    <w:rsid w:val="009671F9"/>
    <w:rsid w:val="0097457E"/>
    <w:rsid w:val="009A6EAF"/>
    <w:rsid w:val="009C1484"/>
    <w:rsid w:val="00A73FB0"/>
    <w:rsid w:val="00AA7369"/>
    <w:rsid w:val="00AB018F"/>
    <w:rsid w:val="00B00AA0"/>
    <w:rsid w:val="00B22FB1"/>
    <w:rsid w:val="00B73265"/>
    <w:rsid w:val="00B77468"/>
    <w:rsid w:val="00C13E3C"/>
    <w:rsid w:val="00C2167D"/>
    <w:rsid w:val="00C42CED"/>
    <w:rsid w:val="00C600AD"/>
    <w:rsid w:val="00C96D1C"/>
    <w:rsid w:val="00CA7EB5"/>
    <w:rsid w:val="00CB516C"/>
    <w:rsid w:val="00CB5C89"/>
    <w:rsid w:val="00CD3DE3"/>
    <w:rsid w:val="00CF1A81"/>
    <w:rsid w:val="00D34FEC"/>
    <w:rsid w:val="00D41C12"/>
    <w:rsid w:val="00D44375"/>
    <w:rsid w:val="00D56296"/>
    <w:rsid w:val="00D665A8"/>
    <w:rsid w:val="00D72E5D"/>
    <w:rsid w:val="00D918E8"/>
    <w:rsid w:val="00DC3B07"/>
    <w:rsid w:val="00DC6DFC"/>
    <w:rsid w:val="00DD63E3"/>
    <w:rsid w:val="00DF0D4A"/>
    <w:rsid w:val="00E322E9"/>
    <w:rsid w:val="00E54901"/>
    <w:rsid w:val="00E73D3B"/>
    <w:rsid w:val="00EA2283"/>
    <w:rsid w:val="00EC3904"/>
    <w:rsid w:val="00EE22B5"/>
    <w:rsid w:val="00F02071"/>
    <w:rsid w:val="00F06928"/>
    <w:rsid w:val="00F37A54"/>
    <w:rsid w:val="00F77940"/>
    <w:rsid w:val="00FA1EF5"/>
    <w:rsid w:val="00FB7872"/>
    <w:rsid w:val="02CC4870"/>
    <w:rsid w:val="02FF41F8"/>
    <w:rsid w:val="05700B87"/>
    <w:rsid w:val="0A705385"/>
    <w:rsid w:val="0CC003F3"/>
    <w:rsid w:val="10FA4306"/>
    <w:rsid w:val="12821ED9"/>
    <w:rsid w:val="12CD72A7"/>
    <w:rsid w:val="151A1508"/>
    <w:rsid w:val="15525935"/>
    <w:rsid w:val="17005FBC"/>
    <w:rsid w:val="176075D7"/>
    <w:rsid w:val="19EF52D8"/>
    <w:rsid w:val="1BCF0653"/>
    <w:rsid w:val="1DF51CE6"/>
    <w:rsid w:val="1DF8560E"/>
    <w:rsid w:val="220015D2"/>
    <w:rsid w:val="224B705D"/>
    <w:rsid w:val="248B078C"/>
    <w:rsid w:val="249A1B4E"/>
    <w:rsid w:val="26007273"/>
    <w:rsid w:val="2604539D"/>
    <w:rsid w:val="29023D0F"/>
    <w:rsid w:val="2C3B438B"/>
    <w:rsid w:val="2D076076"/>
    <w:rsid w:val="2D637717"/>
    <w:rsid w:val="30662EDC"/>
    <w:rsid w:val="34F5482E"/>
    <w:rsid w:val="358627D0"/>
    <w:rsid w:val="377415C4"/>
    <w:rsid w:val="39886A9F"/>
    <w:rsid w:val="3E337180"/>
    <w:rsid w:val="42A76F80"/>
    <w:rsid w:val="43E0128D"/>
    <w:rsid w:val="443F1892"/>
    <w:rsid w:val="4473751E"/>
    <w:rsid w:val="44895441"/>
    <w:rsid w:val="450C2B54"/>
    <w:rsid w:val="486A6E89"/>
    <w:rsid w:val="491446BA"/>
    <w:rsid w:val="4A083D2C"/>
    <w:rsid w:val="4A5A760D"/>
    <w:rsid w:val="4D4128AF"/>
    <w:rsid w:val="4E9B75F2"/>
    <w:rsid w:val="4EA14C89"/>
    <w:rsid w:val="51295B34"/>
    <w:rsid w:val="5156535B"/>
    <w:rsid w:val="52523D40"/>
    <w:rsid w:val="544E6B34"/>
    <w:rsid w:val="565D1DD7"/>
    <w:rsid w:val="56BC3242"/>
    <w:rsid w:val="572F3748"/>
    <w:rsid w:val="5A1E6A6C"/>
    <w:rsid w:val="5B846B77"/>
    <w:rsid w:val="5FAE5769"/>
    <w:rsid w:val="628C5F22"/>
    <w:rsid w:val="6551772C"/>
    <w:rsid w:val="66190B98"/>
    <w:rsid w:val="66E7627F"/>
    <w:rsid w:val="6764271C"/>
    <w:rsid w:val="681F6A8B"/>
    <w:rsid w:val="69B1172D"/>
    <w:rsid w:val="6BE75F78"/>
    <w:rsid w:val="6CBF0CA2"/>
    <w:rsid w:val="6DC15D38"/>
    <w:rsid w:val="6F410095"/>
    <w:rsid w:val="70484351"/>
    <w:rsid w:val="708B7819"/>
    <w:rsid w:val="731A162D"/>
    <w:rsid w:val="73397A01"/>
    <w:rsid w:val="73A85F67"/>
    <w:rsid w:val="74BC6ADF"/>
    <w:rsid w:val="755B70CF"/>
    <w:rsid w:val="75BC2223"/>
    <w:rsid w:val="77CC1A02"/>
    <w:rsid w:val="77F373ED"/>
    <w:rsid w:val="7828099D"/>
    <w:rsid w:val="783C435B"/>
    <w:rsid w:val="787B0173"/>
    <w:rsid w:val="797F1EE5"/>
    <w:rsid w:val="79955265"/>
    <w:rsid w:val="7B78035F"/>
    <w:rsid w:val="7CDE3F9D"/>
    <w:rsid w:val="7E93028B"/>
    <w:rsid w:val="7F73169E"/>
    <w:rsid w:val="7F7A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4"/>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unhideWhenUsed/>
    <w:qFormat/>
    <w:uiPriority w:val="0"/>
    <w:pPr>
      <w:keepNext/>
      <w:keepLines/>
      <w:numPr>
        <w:ilvl w:val="2"/>
        <w:numId w:val="1"/>
      </w:numPr>
      <w:spacing w:before="20" w:after="20"/>
      <w:outlineLvl w:val="2"/>
    </w:pPr>
    <w:rPr>
      <w:rFonts w:ascii="Arial" w:hAnsi="Arial" w:eastAsia="黑体"/>
      <w:b/>
      <w:bCs/>
      <w:sz w:val="30"/>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spacing w:line="318" w:lineRule="atLeast"/>
      <w:ind w:left="369" w:firstLine="369"/>
    </w:pPr>
    <w:rPr>
      <w:rFonts w:ascii="宋体"/>
    </w:rPr>
  </w:style>
  <w:style w:type="paragraph" w:styleId="4">
    <w:name w:val="Normal Indent"/>
    <w:basedOn w:val="1"/>
    <w:next w:val="5"/>
    <w:qFormat/>
    <w:uiPriority w:val="99"/>
    <w:pPr>
      <w:ind w:firstLine="200" w:firstLineChars="200"/>
    </w:pPr>
    <w:rPr>
      <w:szCs w:val="20"/>
    </w:rPr>
  </w:style>
  <w:style w:type="paragraph" w:styleId="5">
    <w:name w:val="Body Text Indent"/>
    <w:basedOn w:val="1"/>
    <w:next w:val="4"/>
    <w:qFormat/>
    <w:uiPriority w:val="0"/>
    <w:pPr>
      <w:spacing w:line="480" w:lineRule="exact"/>
      <w:ind w:firstLine="480" w:firstLineChars="200"/>
    </w:pPr>
    <w:rPr>
      <w:rFonts w:ascii="宋体" w:hAnsi="宋体"/>
      <w:sz w:val="24"/>
    </w:rPr>
  </w:style>
  <w:style w:type="paragraph" w:styleId="7">
    <w:name w:val="annotation text"/>
    <w:basedOn w:val="1"/>
    <w:semiHidden/>
    <w:unhideWhenUsed/>
    <w:qFormat/>
    <w:uiPriority w:val="99"/>
    <w:pPr>
      <w:jc w:val="left"/>
    </w:pPr>
  </w:style>
  <w:style w:type="paragraph" w:styleId="8">
    <w:name w:val="Body Text"/>
    <w:basedOn w:val="1"/>
    <w:next w:val="9"/>
    <w:qFormat/>
    <w:uiPriority w:val="0"/>
    <w:rPr>
      <w:rFonts w:ascii="楷体_GB2312" w:hAnsi="Arial" w:eastAsia="楷体_GB2312"/>
      <w:sz w:val="28"/>
      <w:szCs w:val="28"/>
    </w:rPr>
  </w:style>
  <w:style w:type="paragraph" w:styleId="9">
    <w:name w:val="Body Text First Indent"/>
    <w:basedOn w:val="8"/>
    <w:next w:val="10"/>
    <w:qFormat/>
    <w:uiPriority w:val="0"/>
    <w:pPr>
      <w:tabs>
        <w:tab w:val="left" w:pos="208"/>
      </w:tabs>
      <w:spacing w:after="120"/>
      <w:ind w:firstLine="420" w:firstLineChars="100"/>
    </w:pPr>
    <w:rPr>
      <w:rFonts w:ascii="Times New Roman" w:eastAsia="宋体"/>
      <w:sz w:val="21"/>
    </w:rPr>
  </w:style>
  <w:style w:type="paragraph" w:styleId="10">
    <w:name w:val="toc 6"/>
    <w:basedOn w:val="1"/>
    <w:next w:val="1"/>
    <w:unhideWhenUsed/>
    <w:qFormat/>
    <w:uiPriority w:val="39"/>
    <w:pPr>
      <w:ind w:left="1050" w:leftChars="100" w:firstLine="200" w:firstLineChars="200"/>
      <w:jc w:val="left"/>
    </w:pPr>
    <w:rPr>
      <w:sz w:val="20"/>
      <w:szCs w:val="20"/>
    </w:rPr>
  </w:style>
  <w:style w:type="paragraph" w:styleId="11">
    <w:name w:val="Block Text"/>
    <w:basedOn w:val="1"/>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12">
    <w:name w:val="index 4"/>
    <w:basedOn w:val="1"/>
    <w:next w:val="1"/>
    <w:qFormat/>
    <w:uiPriority w:val="0"/>
    <w:pPr>
      <w:ind w:left="600" w:leftChars="600"/>
    </w:pPr>
    <w:rPr>
      <w:rFonts w:eastAsia="仿宋_GB2312"/>
      <w:sz w:val="24"/>
    </w:rPr>
  </w:style>
  <w:style w:type="paragraph" w:styleId="13">
    <w:name w:val="Plain Text"/>
    <w:basedOn w:val="1"/>
    <w:next w:val="1"/>
    <w:qFormat/>
    <w:uiPriority w:val="0"/>
    <w:pPr>
      <w:ind w:firstLine="200" w:firstLineChars="200"/>
    </w:pPr>
    <w:rPr>
      <w:rFonts w:ascii="宋体" w:hAnsi="Courier New" w:eastAsia="华文中宋" w:cs="Courier New"/>
      <w:szCs w:val="21"/>
    </w:rPr>
  </w:style>
  <w:style w:type="paragraph" w:styleId="14">
    <w:name w:val="Body Text Indent 2"/>
    <w:basedOn w:val="1"/>
    <w:next w:val="15"/>
    <w:qFormat/>
    <w:uiPriority w:val="0"/>
    <w:pPr>
      <w:spacing w:line="360" w:lineRule="auto"/>
      <w:ind w:firstLine="601"/>
      <w:textAlignment w:val="baseline"/>
    </w:pPr>
    <w:rPr>
      <w:rFonts w:ascii="宋体"/>
      <w:kern w:val="0"/>
      <w:sz w:val="28"/>
      <w:szCs w:val="20"/>
    </w:rPr>
  </w:style>
  <w:style w:type="paragraph" w:styleId="15">
    <w:name w:val="toc 1"/>
    <w:basedOn w:val="1"/>
    <w:next w:val="1"/>
    <w:qFormat/>
    <w:uiPriority w:val="0"/>
  </w:style>
  <w:style w:type="paragraph" w:styleId="16">
    <w:name w:val="Balloon Text"/>
    <w:basedOn w:val="1"/>
    <w:link w:val="38"/>
    <w:semiHidden/>
    <w:unhideWhenUsed/>
    <w:qFormat/>
    <w:uiPriority w:val="99"/>
    <w:rPr>
      <w:sz w:val="18"/>
      <w:szCs w:val="18"/>
    </w:rPr>
  </w:style>
  <w:style w:type="paragraph" w:styleId="17">
    <w:name w:val="footer"/>
    <w:basedOn w:val="1"/>
    <w:link w:val="28"/>
    <w:unhideWhenUsed/>
    <w:qFormat/>
    <w:uiPriority w:val="99"/>
    <w:pPr>
      <w:tabs>
        <w:tab w:val="center" w:pos="4153"/>
        <w:tab w:val="right" w:pos="8306"/>
      </w:tabs>
      <w:snapToGrid w:val="0"/>
      <w:jc w:val="left"/>
    </w:pPr>
    <w:rPr>
      <w:sz w:val="18"/>
      <w:szCs w:val="18"/>
    </w:rPr>
  </w:style>
  <w:style w:type="paragraph" w:styleId="18">
    <w:name w:val="header"/>
    <w:basedOn w:val="1"/>
    <w:next w:val="14"/>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0"/>
    <w:pPr>
      <w:spacing w:line="240" w:lineRule="atLeast"/>
      <w:jc w:val="center"/>
    </w:pPr>
    <w:rPr>
      <w:b/>
      <w:kern w:val="0"/>
      <w:sz w:val="30"/>
    </w:rPr>
  </w:style>
  <w:style w:type="table" w:styleId="22">
    <w:name w:val="Table Grid"/>
    <w:basedOn w:val="21"/>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semiHidden/>
    <w:unhideWhenUsed/>
    <w:qFormat/>
    <w:uiPriority w:val="99"/>
    <w:rPr>
      <w:color w:val="0000FF"/>
      <w:u w:val="single"/>
    </w:rPr>
  </w:style>
  <w:style w:type="character" w:styleId="25">
    <w:name w:val="annotation reference"/>
    <w:basedOn w:val="23"/>
    <w:semiHidden/>
    <w:unhideWhenUsed/>
    <w:qFormat/>
    <w:uiPriority w:val="99"/>
    <w:rPr>
      <w:sz w:val="21"/>
      <w:szCs w:val="21"/>
    </w:rPr>
  </w:style>
  <w:style w:type="paragraph" w:customStyle="1" w:styleId="26">
    <w:name w:val="表格文字"/>
    <w:basedOn w:val="13"/>
    <w:next w:val="8"/>
    <w:qFormat/>
    <w:uiPriority w:val="0"/>
    <w:pPr>
      <w:spacing w:before="25" w:after="25"/>
      <w:jc w:val="left"/>
    </w:pPr>
    <w:rPr>
      <w:rFonts w:ascii="Times New Roman" w:hAnsi="Times New Roman" w:eastAsia="宋体" w:cs="Times New Roman"/>
      <w:bCs/>
      <w:spacing w:val="10"/>
      <w:kern w:val="0"/>
    </w:rPr>
  </w:style>
  <w:style w:type="character" w:customStyle="1" w:styleId="27">
    <w:name w:val="页眉 字符"/>
    <w:basedOn w:val="23"/>
    <w:link w:val="18"/>
    <w:qFormat/>
    <w:uiPriority w:val="99"/>
    <w:rPr>
      <w:sz w:val="18"/>
      <w:szCs w:val="18"/>
    </w:rPr>
  </w:style>
  <w:style w:type="character" w:customStyle="1" w:styleId="28">
    <w:name w:val="页脚 字符"/>
    <w:basedOn w:val="23"/>
    <w:link w:val="17"/>
    <w:qFormat/>
    <w:uiPriority w:val="99"/>
    <w:rPr>
      <w:sz w:val="18"/>
      <w:szCs w:val="18"/>
    </w:rPr>
  </w:style>
  <w:style w:type="character" w:customStyle="1" w:styleId="29">
    <w:name w:val="列表段落 字符"/>
    <w:link w:val="30"/>
    <w:qFormat/>
    <w:uiPriority w:val="34"/>
    <w:rPr>
      <w:sz w:val="24"/>
      <w:szCs w:val="24"/>
    </w:rPr>
  </w:style>
  <w:style w:type="paragraph" w:customStyle="1" w:styleId="30">
    <w:name w:val="列出段落1"/>
    <w:basedOn w:val="1"/>
    <w:link w:val="29"/>
    <w:qFormat/>
    <w:uiPriority w:val="34"/>
    <w:pPr>
      <w:spacing w:line="360" w:lineRule="auto"/>
      <w:ind w:firstLine="420" w:firstLineChars="200"/>
    </w:pPr>
    <w:rPr>
      <w:rFonts w:asciiTheme="minorHAnsi" w:hAnsiTheme="minorHAnsi" w:eastAsiaTheme="minorEastAsia" w:cstheme="minorBidi"/>
      <w:sz w:val="24"/>
      <w:szCs w:val="24"/>
    </w:rPr>
  </w:style>
  <w:style w:type="paragraph" w:customStyle="1" w:styleId="31">
    <w:name w:val="样式 首行缩进:  2.25 字符"/>
    <w:basedOn w:val="1"/>
    <w:qFormat/>
    <w:uiPriority w:val="0"/>
    <w:pPr>
      <w:spacing w:line="360" w:lineRule="auto"/>
      <w:ind w:firstLine="225" w:firstLineChars="225"/>
    </w:pPr>
    <w:rPr>
      <w:rFonts w:cs="宋体"/>
      <w:sz w:val="24"/>
      <w:szCs w:val="20"/>
    </w:rPr>
  </w:style>
  <w:style w:type="paragraph" w:customStyle="1" w:styleId="32">
    <w:name w:val="列出段落2"/>
    <w:basedOn w:val="1"/>
    <w:qFormat/>
    <w:uiPriority w:val="34"/>
    <w:pPr>
      <w:ind w:firstLine="420" w:firstLineChars="200"/>
    </w:pPr>
    <w:rPr>
      <w:rFonts w:ascii="Times New Roman" w:hAnsi="Times New Roman"/>
      <w:szCs w:val="24"/>
    </w:rPr>
  </w:style>
  <w:style w:type="paragraph" w:customStyle="1" w:styleId="33">
    <w:name w:val="_Style 4"/>
    <w:basedOn w:val="1"/>
    <w:qFormat/>
    <w:uiPriority w:val="99"/>
    <w:pPr>
      <w:ind w:firstLine="420" w:firstLineChars="200"/>
    </w:pPr>
  </w:style>
  <w:style w:type="paragraph" w:styleId="34">
    <w:name w:val="List Paragraph"/>
    <w:basedOn w:val="1"/>
    <w:qFormat/>
    <w:uiPriority w:val="34"/>
    <w:pPr>
      <w:ind w:firstLine="420" w:firstLineChars="200"/>
    </w:pPr>
  </w:style>
  <w:style w:type="paragraph" w:customStyle="1" w:styleId="35">
    <w:name w:val="方案正文"/>
    <w:basedOn w:val="1"/>
    <w:qFormat/>
    <w:uiPriority w:val="0"/>
    <w:pPr>
      <w:spacing w:before="120" w:line="360" w:lineRule="auto"/>
      <w:ind w:firstLine="425" w:firstLineChars="177"/>
    </w:pPr>
    <w:rPr>
      <w:rFonts w:ascii="华文细黑" w:hAnsi="华文细黑" w:eastAsia="华文细黑"/>
      <w:sz w:val="24"/>
      <w:szCs w:val="24"/>
    </w:rPr>
  </w:style>
  <w:style w:type="paragraph" w:styleId="36">
    <w:name w:val="No Spacing"/>
    <w:qFormat/>
    <w:uiPriority w:val="1"/>
    <w:pPr>
      <w:widowControl w:val="0"/>
      <w:snapToGrid w:val="0"/>
    </w:pPr>
    <w:rPr>
      <w:rFonts w:ascii="Calibri" w:hAnsi="Calibri" w:eastAsia="微软雅黑" w:cs="Times New Roman"/>
      <w:kern w:val="2"/>
      <w:sz w:val="24"/>
      <w:szCs w:val="21"/>
      <w:lang w:val="en-US" w:eastAsia="zh-CN" w:bidi="ar-SA"/>
    </w:rPr>
  </w:style>
  <w:style w:type="paragraph" w:customStyle="1" w:styleId="37">
    <w:name w:val="列表段落1"/>
    <w:basedOn w:val="1"/>
    <w:qFormat/>
    <w:uiPriority w:val="34"/>
    <w:pPr>
      <w:ind w:firstLine="420" w:firstLineChars="200"/>
    </w:pPr>
    <w:rPr>
      <w:szCs w:val="24"/>
    </w:rPr>
  </w:style>
  <w:style w:type="character" w:customStyle="1" w:styleId="38">
    <w:name w:val="批注框文本 字符"/>
    <w:basedOn w:val="23"/>
    <w:link w:val="16"/>
    <w:semiHidden/>
    <w:qFormat/>
    <w:uiPriority w:val="99"/>
    <w:rPr>
      <w:rFonts w:ascii="Calibri" w:hAnsi="Calibri" w:eastAsia="宋体" w:cs="Times New Roman"/>
      <w:kern w:val="2"/>
      <w:sz w:val="18"/>
      <w:szCs w:val="18"/>
    </w:rPr>
  </w:style>
  <w:style w:type="paragraph" w:customStyle="1" w:styleId="39">
    <w:name w:val="修订1"/>
    <w:hidden/>
    <w:semiHidden/>
    <w:qFormat/>
    <w:uiPriority w:val="99"/>
    <w:rPr>
      <w:rFonts w:ascii="Calibri" w:hAnsi="Calibri" w:eastAsia="宋体" w:cs="Times New Roman"/>
      <w:kern w:val="2"/>
      <w:sz w:val="21"/>
      <w:szCs w:val="22"/>
      <w:lang w:val="en-US" w:eastAsia="zh-CN" w:bidi="ar-SA"/>
    </w:rPr>
  </w:style>
  <w:style w:type="paragraph" w:customStyle="1" w:styleId="40">
    <w:name w:val="_正文"/>
    <w:basedOn w:val="1"/>
    <w:qFormat/>
    <w:uiPriority w:val="0"/>
    <w:pPr>
      <w:ind w:firstLine="200" w:firstLineChars="200"/>
    </w:pPr>
    <w:rPr>
      <w:kern w:val="0"/>
    </w:rPr>
  </w:style>
  <w:style w:type="paragraph" w:customStyle="1" w:styleId="41">
    <w:name w:val="_Style 429"/>
    <w:basedOn w:val="1"/>
    <w:next w:val="34"/>
    <w:qFormat/>
    <w:uiPriority w:val="1"/>
    <w:pPr>
      <w:ind w:firstLine="420" w:firstLineChars="200"/>
    </w:pPr>
    <w:rPr>
      <w:rFonts w:eastAsia="Calibri"/>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5004</Words>
  <Characters>5263</Characters>
  <Lines>20</Lines>
  <Paragraphs>5</Paragraphs>
  <TotalTime>4</TotalTime>
  <ScaleCrop>false</ScaleCrop>
  <LinksUpToDate>false</LinksUpToDate>
  <CharactersWithSpaces>5306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2023-05-17T08:32:00Z</dcterms:created>
  <dc:creator>office51</dc:creator>
  <cp:lastModifiedBy>小暖</cp:lastModifiedBy>
  <cp:lastPrinted>2022-11-10T07:47:00Z</cp:lastPrinted>
  <dcterms:modified xsi:type="dcterms:W3CDTF">2023-05-22T02:27:12Z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79EFB54A40CA468E8DEAF33043193396_13</vt:lpwstr>
  </property>
</Properties>
</file>