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333333"/>
          <w:kern w:val="0"/>
          <w:szCs w:val="21"/>
        </w:rPr>
      </w:pPr>
      <w:r>
        <w:rPr>
          <w:rFonts w:hint="eastAsia" w:ascii="宋体" w:hAnsi="宋体" w:cs="宋体"/>
          <w:color w:val="333333"/>
          <w:kern w:val="0"/>
          <w:szCs w:val="21"/>
        </w:rPr>
        <w:t>附件：</w:t>
      </w:r>
    </w:p>
    <w:p>
      <w:pPr>
        <w:pStyle w:val="21"/>
      </w:pPr>
    </w:p>
    <w:p>
      <w:pPr>
        <w:pStyle w:val="14"/>
        <w:numPr>
          <w:ilvl w:val="0"/>
          <w:numId w:val="2"/>
        </w:numPr>
        <w:ind w:leftChars="0"/>
        <w:jc w:val="center"/>
        <w:rPr>
          <w:rFonts w:ascii="宋体" w:hAnsi="宋体" w:eastAsia="宋体" w:cs="宋体"/>
          <w:b/>
          <w:kern w:val="0"/>
          <w:szCs w:val="24"/>
        </w:rPr>
      </w:pPr>
      <w:r>
        <w:rPr>
          <w:rFonts w:hint="eastAsia" w:ascii="宋体" w:hAnsi="宋体" w:eastAsia="宋体" w:cs="宋体"/>
          <w:b/>
          <w:kern w:val="0"/>
          <w:szCs w:val="24"/>
        </w:rPr>
        <w:t>论证邀请</w:t>
      </w:r>
    </w:p>
    <w:p/>
    <w:p>
      <w:pPr>
        <w:spacing w:line="360" w:lineRule="auto"/>
        <w:ind w:firstLine="630" w:firstLineChars="300"/>
        <w:rPr>
          <w:rFonts w:ascii="宋体" w:hAnsi="宋体" w:cs="宋体"/>
          <w:kern w:val="0"/>
          <w:szCs w:val="21"/>
        </w:rPr>
      </w:pPr>
      <w:r>
        <w:rPr>
          <w:rFonts w:hint="eastAsia" w:ascii="宋体" w:hAnsi="宋体" w:cs="宋体"/>
          <w:kern w:val="0"/>
          <w:szCs w:val="21"/>
        </w:rPr>
        <w:t>南京市江宁医院信息处根据医院信息化资产委员会会议及院长办公会要求，就鼓山路院区核心交换机改造项目进行论证，兹邀请符合资格条件的生产企业、经销企业以及潜在供应商参加。</w:t>
      </w:r>
    </w:p>
    <w:p>
      <w:pPr>
        <w:spacing w:line="360" w:lineRule="auto"/>
        <w:rPr>
          <w:rFonts w:ascii="宋体" w:hAnsi="宋体" w:cs="宋体"/>
          <w:b/>
          <w:color w:val="000000"/>
          <w:szCs w:val="21"/>
        </w:rPr>
      </w:pPr>
      <w:r>
        <w:rPr>
          <w:rFonts w:hint="eastAsia" w:ascii="宋体" w:hAnsi="宋体" w:cs="宋体"/>
          <w:b/>
          <w:color w:val="000000"/>
          <w:szCs w:val="21"/>
        </w:rPr>
        <w:t>一、项目简要说明：</w:t>
      </w:r>
    </w:p>
    <w:tbl>
      <w:tblPr>
        <w:tblStyle w:val="23"/>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2833"/>
        <w:gridCol w:w="874"/>
        <w:gridCol w:w="1747"/>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5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48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数量</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需求部门</w:t>
            </w:r>
          </w:p>
        </w:tc>
        <w:tc>
          <w:tcPr>
            <w:tcW w:w="15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5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rPr>
              <w:t>江宁医院</w:t>
            </w:r>
            <w:r>
              <w:rPr>
                <w:rFonts w:hint="eastAsia" w:ascii="宋体" w:hAnsi="宋体" w:cs="宋体"/>
                <w:kern w:val="0"/>
                <w:szCs w:val="21"/>
              </w:rPr>
              <w:t>鼓山路院区核心交换机改造项目</w:t>
            </w:r>
          </w:p>
        </w:tc>
        <w:tc>
          <w:tcPr>
            <w:tcW w:w="48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1套</w:t>
            </w:r>
          </w:p>
        </w:tc>
        <w:tc>
          <w:tcPr>
            <w:tcW w:w="973" w:type="pct"/>
            <w:tcBorders>
              <w:top w:val="single" w:color="auto" w:sz="4" w:space="0"/>
              <w:left w:val="single" w:color="auto" w:sz="4" w:space="0"/>
              <w:bottom w:val="single" w:color="auto" w:sz="4" w:space="0"/>
              <w:right w:val="single" w:color="auto" w:sz="4" w:space="0"/>
            </w:tcBorders>
            <w:vAlign w:val="center"/>
          </w:tcPr>
          <w:p>
            <w:pPr>
              <w:pStyle w:val="20"/>
              <w:spacing w:before="0" w:beforeAutospacing="0" w:after="0" w:afterAutospacing="0" w:line="420" w:lineRule="exact"/>
              <w:jc w:val="center"/>
              <w:rPr>
                <w:rFonts w:hint="eastAsia" w:ascii="Calibri" w:hAnsi="Calibri" w:cs="Times New Roman"/>
                <w:kern w:val="2"/>
                <w:sz w:val="21"/>
                <w:szCs w:val="22"/>
              </w:rPr>
            </w:pPr>
            <w:r>
              <w:rPr>
                <w:rFonts w:hint="eastAsia" w:ascii="Calibri" w:hAnsi="Calibri" w:cs="Times New Roman"/>
                <w:kern w:val="2"/>
                <w:sz w:val="21"/>
                <w:szCs w:val="22"/>
              </w:rPr>
              <w:t>信息处</w:t>
            </w:r>
          </w:p>
        </w:tc>
        <w:tc>
          <w:tcPr>
            <w:tcW w:w="1516" w:type="pct"/>
            <w:tcBorders>
              <w:top w:val="single" w:color="auto" w:sz="4" w:space="0"/>
              <w:left w:val="single" w:color="auto" w:sz="4" w:space="0"/>
              <w:bottom w:val="single" w:color="auto" w:sz="4" w:space="0"/>
              <w:right w:val="single" w:color="auto" w:sz="4" w:space="0"/>
            </w:tcBorders>
            <w:vAlign w:val="center"/>
          </w:tcPr>
          <w:p>
            <w:pPr>
              <w:pStyle w:val="20"/>
              <w:spacing w:before="0" w:beforeAutospacing="0" w:after="0" w:afterAutospacing="0" w:line="420" w:lineRule="exact"/>
              <w:jc w:val="center"/>
              <w:rPr>
                <w:rFonts w:ascii="Calibri" w:hAnsi="Calibri" w:cs="Times New Roman"/>
                <w:kern w:val="2"/>
                <w:sz w:val="21"/>
                <w:szCs w:val="22"/>
              </w:rPr>
            </w:pPr>
            <w:r>
              <w:rPr>
                <w:rFonts w:hint="eastAsia" w:ascii="Calibri" w:hAnsi="Calibri" w:cs="Times New Roman"/>
                <w:kern w:val="2"/>
                <w:sz w:val="21"/>
                <w:szCs w:val="22"/>
              </w:rPr>
              <w:t>1、更换两台核心交换机；</w:t>
            </w:r>
          </w:p>
          <w:p>
            <w:pPr>
              <w:pStyle w:val="20"/>
              <w:spacing w:before="0" w:beforeAutospacing="0" w:after="0" w:afterAutospacing="0" w:line="420" w:lineRule="exact"/>
              <w:rPr>
                <w:rFonts w:hint="eastAsia" w:ascii="Calibri" w:hAnsi="Calibri" w:cs="Times New Roman"/>
                <w:kern w:val="2"/>
                <w:sz w:val="21"/>
                <w:szCs w:val="22"/>
              </w:rPr>
            </w:pPr>
            <w:r>
              <w:rPr>
                <w:rFonts w:hint="eastAsia" w:ascii="Calibri" w:hAnsi="Calibri" w:cs="Times New Roman"/>
                <w:kern w:val="2"/>
                <w:sz w:val="21"/>
                <w:szCs w:val="22"/>
              </w:rPr>
              <w:t>2、更换一台汇聚交换机</w:t>
            </w:r>
          </w:p>
        </w:tc>
      </w:tr>
    </w:tbl>
    <w:p/>
    <w:p>
      <w:pPr>
        <w:spacing w:line="360" w:lineRule="auto"/>
        <w:rPr>
          <w:rFonts w:ascii="宋体" w:hAnsi="宋体" w:cs="宋体"/>
          <w:b/>
          <w:color w:val="000000"/>
          <w:szCs w:val="21"/>
        </w:rPr>
      </w:pPr>
    </w:p>
    <w:p>
      <w:pPr>
        <w:spacing w:line="360" w:lineRule="auto"/>
        <w:rPr>
          <w:rFonts w:ascii="宋体" w:hAnsi="宋体" w:cs="宋体"/>
          <w:b/>
          <w:color w:val="000000"/>
          <w:szCs w:val="21"/>
        </w:rPr>
      </w:pPr>
      <w:r>
        <w:rPr>
          <w:rFonts w:hint="eastAsia" w:ascii="宋体" w:hAnsi="宋体" w:cs="宋体"/>
          <w:b/>
          <w:color w:val="000000"/>
          <w:szCs w:val="21"/>
        </w:rPr>
        <w:t>二、供应商报名资格要求</w:t>
      </w:r>
    </w:p>
    <w:p>
      <w:pPr>
        <w:spacing w:line="360" w:lineRule="auto"/>
        <w:ind w:firstLine="420" w:firstLineChars="200"/>
        <w:rPr>
          <w:rFonts w:ascii="宋体" w:hAnsi="宋体" w:cs="宋体"/>
          <w:kern w:val="0"/>
          <w:szCs w:val="21"/>
        </w:rPr>
      </w:pPr>
      <w:r>
        <w:rPr>
          <w:rFonts w:hint="eastAsia" w:ascii="宋体" w:hAnsi="宋体" w:cs="宋体"/>
          <w:kern w:val="0"/>
          <w:szCs w:val="21"/>
        </w:rPr>
        <w:t>报名单位必须具备《中华人民共和国政府采购法》第22条所规定的条件外，还须具备如下条件：</w:t>
      </w:r>
    </w:p>
    <w:p>
      <w:pPr>
        <w:spacing w:line="360" w:lineRule="auto"/>
        <w:ind w:firstLine="420" w:firstLineChars="200"/>
        <w:rPr>
          <w:rFonts w:ascii="宋体" w:hAnsi="宋体" w:cs="宋体"/>
          <w:kern w:val="0"/>
          <w:szCs w:val="21"/>
        </w:rPr>
      </w:pPr>
      <w:r>
        <w:rPr>
          <w:rFonts w:hint="eastAsia" w:ascii="宋体" w:hAnsi="宋体" w:cs="宋体"/>
          <w:kern w:val="0"/>
          <w:szCs w:val="21"/>
        </w:rPr>
        <w:t>1）在国内工商管理部门注册，具有独立的法人资格。</w:t>
      </w:r>
    </w:p>
    <w:p>
      <w:pPr>
        <w:spacing w:line="360" w:lineRule="auto"/>
        <w:ind w:firstLine="420" w:firstLineChars="200"/>
        <w:rPr>
          <w:rFonts w:ascii="宋体" w:hAnsi="宋体" w:cs="宋体"/>
          <w:kern w:val="0"/>
          <w:szCs w:val="21"/>
        </w:rPr>
      </w:pPr>
      <w:r>
        <w:rPr>
          <w:rFonts w:hint="eastAsia" w:ascii="宋体" w:hAnsi="宋体" w:cs="宋体"/>
          <w:kern w:val="0"/>
          <w:szCs w:val="21"/>
        </w:rPr>
        <w:t>2）法定代表人授权委托书（法定代表人签署不需提供此书）；法定代表人及授权代表身份证正反面复印件；</w:t>
      </w:r>
    </w:p>
    <w:p>
      <w:pPr>
        <w:spacing w:line="360" w:lineRule="auto"/>
        <w:ind w:firstLine="420" w:firstLineChars="200"/>
        <w:rPr>
          <w:rFonts w:ascii="宋体" w:hAnsi="宋体" w:cs="宋体"/>
          <w:kern w:val="0"/>
          <w:szCs w:val="21"/>
        </w:rPr>
      </w:pPr>
      <w:r>
        <w:rPr>
          <w:rFonts w:hint="eastAsia" w:ascii="宋体" w:hAnsi="宋体" w:cs="宋体"/>
          <w:kern w:val="0"/>
          <w:szCs w:val="21"/>
        </w:rPr>
        <w:t>3）具有良好的商业信誉和健全的财务会计制度；</w:t>
      </w:r>
    </w:p>
    <w:p>
      <w:pPr>
        <w:spacing w:line="360" w:lineRule="auto"/>
        <w:ind w:firstLine="420" w:firstLineChars="200"/>
        <w:rPr>
          <w:rFonts w:ascii="宋体" w:hAnsi="宋体" w:cs="宋体"/>
          <w:kern w:val="0"/>
          <w:szCs w:val="21"/>
        </w:rPr>
      </w:pPr>
      <w:r>
        <w:rPr>
          <w:rFonts w:hint="eastAsia" w:ascii="宋体" w:hAnsi="宋体" w:cs="宋体"/>
          <w:kern w:val="0"/>
          <w:szCs w:val="21"/>
        </w:rPr>
        <w:t>4）有依法缴纳税收和社会保障资金的良好记录；</w:t>
      </w:r>
    </w:p>
    <w:p>
      <w:pPr>
        <w:spacing w:line="360" w:lineRule="auto"/>
        <w:ind w:firstLine="420" w:firstLineChars="200"/>
        <w:rPr>
          <w:rFonts w:ascii="宋体" w:hAnsi="宋体" w:cs="宋体"/>
          <w:kern w:val="0"/>
          <w:szCs w:val="21"/>
        </w:rPr>
      </w:pPr>
      <w:r>
        <w:rPr>
          <w:rFonts w:hint="eastAsia" w:ascii="宋体" w:hAnsi="宋体" w:cs="宋体"/>
          <w:kern w:val="0"/>
          <w:szCs w:val="21"/>
        </w:rPr>
        <w:t>5）近三年任意年度单位财务审计报告。</w:t>
      </w:r>
    </w:p>
    <w:p>
      <w:pPr>
        <w:rPr>
          <w:rFonts w:ascii="宋体" w:hAnsi="宋体" w:cs="宋体"/>
          <w:szCs w:val="21"/>
        </w:rPr>
      </w:pPr>
    </w:p>
    <w:p>
      <w:pPr>
        <w:spacing w:line="360" w:lineRule="auto"/>
        <w:rPr>
          <w:rFonts w:ascii="宋体" w:hAnsi="宋体" w:cs="宋体"/>
          <w:b/>
          <w:color w:val="000000"/>
          <w:szCs w:val="21"/>
        </w:rPr>
      </w:pPr>
      <w:r>
        <w:rPr>
          <w:rFonts w:hint="eastAsia" w:ascii="宋体" w:hAnsi="宋体" w:cs="宋体"/>
          <w:b/>
          <w:color w:val="000000"/>
          <w:szCs w:val="21"/>
        </w:rPr>
        <w:t>三、论证时间及地点联系方式：</w:t>
      </w:r>
    </w:p>
    <w:p>
      <w:pPr>
        <w:spacing w:line="360" w:lineRule="auto"/>
        <w:ind w:firstLine="420" w:firstLineChars="200"/>
        <w:rPr>
          <w:rFonts w:ascii="宋体" w:hAnsi="宋体" w:cs="宋体"/>
          <w:szCs w:val="21"/>
        </w:rPr>
      </w:pPr>
      <w:r>
        <w:rPr>
          <w:rFonts w:hint="eastAsia" w:ascii="宋体" w:hAnsi="宋体" w:cs="宋体"/>
          <w:szCs w:val="21"/>
        </w:rPr>
        <w:t>1.报名时间：</w:t>
      </w:r>
      <w:r>
        <w:rPr>
          <w:rFonts w:hint="eastAsia" w:ascii="宋体" w:hAnsi="宋体" w:cs="宋体"/>
          <w:szCs w:val="21"/>
          <w:lang w:val="en-US" w:eastAsia="zh-CN"/>
        </w:rPr>
        <w:t>2022年11月8日</w:t>
      </w:r>
      <w:bookmarkStart w:id="0" w:name="_GoBack"/>
      <w:bookmarkEnd w:id="0"/>
      <w:r>
        <w:rPr>
          <w:rFonts w:hint="eastAsia" w:ascii="宋体" w:hAnsi="宋体" w:cs="宋体"/>
          <w:szCs w:val="21"/>
        </w:rPr>
        <w:t xml:space="preserve"> </w:t>
      </w:r>
    </w:p>
    <w:p>
      <w:pPr>
        <w:spacing w:line="360" w:lineRule="auto"/>
        <w:ind w:firstLine="422" w:firstLineChars="200"/>
        <w:rPr>
          <w:rFonts w:ascii="宋体" w:hAnsi="宋体" w:cs="宋体"/>
          <w:szCs w:val="21"/>
        </w:rPr>
      </w:pPr>
      <w:r>
        <w:rPr>
          <w:rFonts w:hint="eastAsia" w:ascii="宋体" w:hAnsi="宋体" w:cs="宋体"/>
          <w:b/>
          <w:bCs/>
          <w:szCs w:val="21"/>
        </w:rPr>
        <w:t>报名材料提交方式</w:t>
      </w:r>
      <w:r>
        <w:rPr>
          <w:rFonts w:hint="eastAsia" w:ascii="宋体" w:hAnsi="宋体" w:cs="宋体"/>
          <w:szCs w:val="21"/>
        </w:rPr>
        <w:t xml:space="preserve">：在报名时间截止之前通过电子邮件形式发送。 </w:t>
      </w:r>
    </w:p>
    <w:p>
      <w:pPr>
        <w:spacing w:line="360" w:lineRule="auto"/>
        <w:ind w:firstLine="422" w:firstLineChars="200"/>
        <w:rPr>
          <w:rFonts w:ascii="宋体" w:hAnsi="宋体" w:cs="宋体"/>
          <w:szCs w:val="21"/>
        </w:rPr>
      </w:pPr>
      <w:r>
        <w:rPr>
          <w:rFonts w:hint="eastAsia" w:ascii="宋体" w:hAnsi="宋体" w:cs="宋体"/>
          <w:b/>
          <w:bCs/>
          <w:szCs w:val="21"/>
        </w:rPr>
        <w:t>邮箱地址：</w:t>
      </w:r>
      <w:r>
        <w:rPr>
          <w:rFonts w:hint="eastAsia" w:ascii="宋体" w:hAnsi="宋体" w:cs="宋体"/>
          <w:szCs w:val="21"/>
        </w:rPr>
        <w:t>xzy_9920@163.com</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 论证时间：2022年 </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 xml:space="preserve"> 月 </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 xml:space="preserve"> 日下午</w:t>
      </w:r>
      <w:r>
        <w:rPr>
          <w:rFonts w:ascii="宋体" w:hAnsi="宋体" w:cs="宋体"/>
          <w:color w:val="auto"/>
          <w:szCs w:val="21"/>
          <w:highlight w:val="none"/>
        </w:rPr>
        <w:t>14</w:t>
      </w:r>
      <w:r>
        <w:rPr>
          <w:rFonts w:hint="eastAsia" w:ascii="宋体" w:hAnsi="宋体" w:cs="宋体"/>
          <w:color w:val="auto"/>
          <w:szCs w:val="21"/>
          <w:highlight w:val="none"/>
        </w:rPr>
        <w:t>:</w:t>
      </w:r>
      <w:r>
        <w:rPr>
          <w:rFonts w:ascii="宋体" w:hAnsi="宋体" w:cs="宋体"/>
          <w:color w:val="auto"/>
          <w:szCs w:val="21"/>
          <w:highlight w:val="none"/>
        </w:rPr>
        <w:t>30</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szCs w:val="21"/>
        </w:rPr>
      </w:pPr>
      <w:r>
        <w:rPr>
          <w:rFonts w:hint="eastAsia" w:ascii="宋体" w:hAnsi="宋体" w:cs="宋体"/>
          <w:szCs w:val="21"/>
        </w:rPr>
        <w:t>3. 论证地点： 湖山路169号3号楼7楼规划室。</w:t>
      </w:r>
    </w:p>
    <w:p>
      <w:pPr>
        <w:spacing w:line="360" w:lineRule="auto"/>
        <w:ind w:firstLine="420" w:firstLineChars="200"/>
        <w:rPr>
          <w:rFonts w:ascii="宋体" w:hAnsi="宋体" w:cs="宋体"/>
          <w:szCs w:val="21"/>
        </w:rPr>
      </w:pPr>
      <w:r>
        <w:rPr>
          <w:rFonts w:hint="eastAsia" w:ascii="宋体" w:hAnsi="宋体" w:cs="宋体"/>
          <w:szCs w:val="21"/>
        </w:rPr>
        <w:t>4. 联系电话：13645153881        联系人：熊老师</w:t>
      </w:r>
    </w:p>
    <w:p>
      <w:pPr>
        <w:spacing w:line="420" w:lineRule="exact"/>
        <w:rPr>
          <w:rFonts w:ascii="宋体" w:hAnsi="宋体" w:cs="宋体"/>
          <w:b/>
          <w:kern w:val="0"/>
          <w:sz w:val="28"/>
          <w:szCs w:val="28"/>
        </w:rPr>
      </w:pPr>
      <w:r>
        <w:rPr>
          <w:rFonts w:hint="eastAsia" w:ascii="宋体" w:hAnsi="宋体" w:cs="宋体"/>
          <w:szCs w:val="21"/>
        </w:rPr>
        <w:br w:type="page"/>
      </w:r>
      <w:r>
        <w:rPr>
          <w:rFonts w:hint="eastAsia" w:ascii="宋体" w:hAnsi="宋体" w:cs="宋体"/>
          <w:b/>
          <w:kern w:val="0"/>
          <w:sz w:val="28"/>
          <w:szCs w:val="28"/>
        </w:rPr>
        <w:t>第二章  技术参数及要求</w:t>
      </w:r>
    </w:p>
    <w:p>
      <w:pPr>
        <w:pStyle w:val="30"/>
        <w:numPr>
          <w:ilvl w:val="255"/>
          <w:numId w:val="0"/>
        </w:numPr>
        <w:spacing w:line="420" w:lineRule="exact"/>
        <w:rPr>
          <w:rFonts w:ascii="宋体" w:hAnsi="宋体" w:eastAsia="宋体" w:cs="宋体"/>
          <w:b/>
          <w:sz w:val="21"/>
          <w:szCs w:val="21"/>
        </w:rPr>
      </w:pPr>
      <w:r>
        <w:rPr>
          <w:rFonts w:hint="eastAsia" w:ascii="宋体" w:hAnsi="宋体" w:eastAsia="宋体" w:cs="宋体"/>
          <w:b/>
          <w:sz w:val="21"/>
          <w:szCs w:val="21"/>
        </w:rPr>
        <w:t>一、项目背景：</w:t>
      </w:r>
    </w:p>
    <w:p>
      <w:pPr>
        <w:spacing w:line="360" w:lineRule="auto"/>
        <w:ind w:firstLine="480"/>
        <w:rPr>
          <w:rFonts w:hint="eastAsia" w:hAnsi="宋体"/>
        </w:rPr>
      </w:pPr>
      <w:r>
        <w:rPr>
          <w:rFonts w:hint="eastAsia" w:hAnsi="宋体"/>
          <w:lang w:val="zh-CN"/>
        </w:rPr>
        <w:t>我院</w:t>
      </w:r>
      <w:r>
        <w:rPr>
          <w:rFonts w:hint="eastAsia" w:hAnsi="宋体"/>
        </w:rPr>
        <w:t>在2</w:t>
      </w:r>
      <w:r>
        <w:rPr>
          <w:rFonts w:hAnsi="宋体"/>
        </w:rPr>
        <w:t>012</w:t>
      </w:r>
      <w:r>
        <w:rPr>
          <w:rFonts w:hint="eastAsia" w:hAnsi="宋体"/>
        </w:rPr>
        <w:t>年采购了一批网络设备，部署在鼓山路院区，构建的鼓山路院区的核心网络系统。</w:t>
      </w:r>
      <w:r>
        <w:rPr>
          <w:rFonts w:hint="eastAsia"/>
        </w:rPr>
        <w:t>随着医院近几年的高速发展，门诊和住院量大大增加，医院信息系统不断升级改造，数据量已经越来越大，对网络系统可靠性要求越来越高。截至目前该批网络设备已经使用了近1</w:t>
      </w:r>
      <w:r>
        <w:t>0</w:t>
      </w:r>
      <w:r>
        <w:rPr>
          <w:rFonts w:hint="eastAsia"/>
        </w:rPr>
        <w:t>年，设备性能和网络端口已不能满足医院发展需要</w:t>
      </w:r>
      <w:r>
        <w:rPr>
          <w:rFonts w:hint="eastAsia" w:hAnsi="宋体"/>
        </w:rPr>
        <w:t>，计划逐步更换鼓山路院区网络设备</w:t>
      </w:r>
      <w:r>
        <w:t>。</w:t>
      </w:r>
    </w:p>
    <w:p>
      <w:pPr>
        <w:pStyle w:val="30"/>
        <w:spacing w:line="420" w:lineRule="exact"/>
        <w:ind w:firstLine="0" w:firstLineChars="0"/>
        <w:rPr>
          <w:rFonts w:ascii="宋体" w:hAnsi="宋体" w:eastAsia="宋体" w:cs="宋体"/>
          <w:b/>
          <w:sz w:val="21"/>
          <w:szCs w:val="21"/>
        </w:rPr>
      </w:pPr>
      <w:r>
        <w:rPr>
          <w:rFonts w:hint="eastAsia" w:ascii="宋体" w:hAnsi="宋体" w:eastAsia="宋体" w:cs="宋体"/>
          <w:b/>
          <w:sz w:val="21"/>
          <w:szCs w:val="21"/>
        </w:rPr>
        <w:t>二、采购需求：</w:t>
      </w:r>
    </w:p>
    <w:tbl>
      <w:tblPr>
        <w:tblStyle w:val="22"/>
        <w:tblW w:w="8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051"/>
        <w:gridCol w:w="481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79" w:type="dxa"/>
            <w:shd w:val="clear" w:color="auto" w:fill="auto"/>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序号</w:t>
            </w:r>
          </w:p>
        </w:tc>
        <w:tc>
          <w:tcPr>
            <w:tcW w:w="2051" w:type="dxa"/>
            <w:vAlign w:val="center"/>
          </w:tcPr>
          <w:p>
            <w:pPr>
              <w:widowControl/>
              <w:jc w:val="center"/>
              <w:rPr>
                <w:rFonts w:hint="eastAsia" w:ascii="宋体" w:hAnsi="宋体" w:cs="宋体"/>
                <w:b/>
                <w:color w:val="000000"/>
                <w:kern w:val="0"/>
                <w:sz w:val="22"/>
              </w:rPr>
            </w:pPr>
            <w:r>
              <w:rPr>
                <w:rFonts w:hint="eastAsia" w:ascii="宋体" w:hAnsi="宋体" w:cs="宋体"/>
                <w:b/>
                <w:color w:val="000000"/>
                <w:kern w:val="0"/>
                <w:sz w:val="22"/>
              </w:rPr>
              <w:t>用途</w:t>
            </w:r>
          </w:p>
        </w:tc>
        <w:tc>
          <w:tcPr>
            <w:tcW w:w="4819" w:type="dxa"/>
            <w:shd w:val="clear" w:color="auto" w:fill="auto"/>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配置规格</w:t>
            </w:r>
          </w:p>
        </w:tc>
        <w:tc>
          <w:tcPr>
            <w:tcW w:w="709" w:type="dxa"/>
            <w:shd w:val="clear" w:color="auto" w:fill="auto"/>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79" w:type="dxa"/>
            <w:shd w:val="clear" w:color="auto" w:fill="auto"/>
            <w:vAlign w:val="center"/>
          </w:tcPr>
          <w:p>
            <w:pPr>
              <w:widowControl/>
              <w:jc w:val="center"/>
              <w:rPr>
                <w:rFonts w:hint="eastAsia" w:ascii="等线" w:hAnsi="宋体" w:eastAsia="等线" w:cs="宋体"/>
                <w:b/>
                <w:color w:val="000000"/>
                <w:kern w:val="0"/>
                <w:sz w:val="22"/>
              </w:rPr>
            </w:pPr>
            <w:r>
              <w:rPr>
                <w:rFonts w:ascii="宋体" w:hAnsi="宋体" w:cs="宋体"/>
                <w:color w:val="000000"/>
                <w:kern w:val="0"/>
                <w:sz w:val="22"/>
              </w:rPr>
              <w:t>1</w:t>
            </w:r>
          </w:p>
        </w:tc>
        <w:tc>
          <w:tcPr>
            <w:tcW w:w="2051" w:type="dxa"/>
            <w:vAlign w:val="center"/>
          </w:tcPr>
          <w:p>
            <w:pPr>
              <w:widowControl/>
              <w:rPr>
                <w:rFonts w:hint="eastAsia" w:ascii="等线" w:hAnsi="宋体" w:eastAsia="等线" w:cs="宋体"/>
                <w:b/>
                <w:color w:val="000000"/>
                <w:kern w:val="0"/>
                <w:sz w:val="22"/>
              </w:rPr>
            </w:pPr>
            <w:r>
              <w:rPr>
                <w:rFonts w:hint="eastAsia" w:ascii="宋体" w:hAnsi="宋体" w:cs="宋体"/>
                <w:color w:val="000000"/>
                <w:kern w:val="0"/>
                <w:sz w:val="22"/>
              </w:rPr>
              <w:t>内网核心交换机</w:t>
            </w:r>
          </w:p>
        </w:tc>
        <w:tc>
          <w:tcPr>
            <w:tcW w:w="4819" w:type="dxa"/>
            <w:shd w:val="clear" w:color="auto" w:fill="auto"/>
            <w:vAlign w:val="center"/>
          </w:tcPr>
          <w:p>
            <w:pPr>
              <w:widowControl/>
              <w:rPr>
                <w:rFonts w:hint="eastAsia" w:ascii="宋体" w:hAnsi="宋体" w:cs="宋体"/>
                <w:szCs w:val="21"/>
              </w:rPr>
            </w:pPr>
            <w:r>
              <w:rPr>
                <w:rFonts w:ascii="宋体" w:hAnsi="宋体" w:cs="宋体"/>
                <w:szCs w:val="21"/>
              </w:rPr>
              <w:t>48</w:t>
            </w:r>
            <w:r>
              <w:rPr>
                <w:rFonts w:hint="eastAsia" w:ascii="宋体" w:hAnsi="宋体" w:cs="宋体"/>
                <w:szCs w:val="21"/>
              </w:rPr>
              <w:t>口万兆光口、4</w:t>
            </w:r>
            <w:r>
              <w:rPr>
                <w:rFonts w:ascii="宋体" w:hAnsi="宋体" w:cs="宋体"/>
                <w:szCs w:val="21"/>
              </w:rPr>
              <w:t>8</w:t>
            </w:r>
            <w:r>
              <w:rPr>
                <w:rFonts w:hint="eastAsia" w:ascii="宋体" w:hAnsi="宋体" w:cs="宋体"/>
                <w:szCs w:val="21"/>
              </w:rPr>
              <w:t>电口、虚拟化集群、双电源、双主控（含4</w:t>
            </w:r>
            <w:r>
              <w:rPr>
                <w:rFonts w:ascii="宋体" w:hAnsi="宋体" w:cs="宋体"/>
                <w:szCs w:val="21"/>
              </w:rPr>
              <w:t>6</w:t>
            </w:r>
            <w:r>
              <w:rPr>
                <w:rFonts w:hint="eastAsia" w:ascii="宋体" w:hAnsi="宋体" w:cs="宋体"/>
                <w:szCs w:val="21"/>
              </w:rPr>
              <w:t>个万兆多光模块，</w:t>
            </w:r>
            <w:r>
              <w:rPr>
                <w:rFonts w:ascii="宋体" w:hAnsi="宋体" w:cs="宋体"/>
                <w:szCs w:val="21"/>
              </w:rPr>
              <w:t>2</w:t>
            </w:r>
            <w:r>
              <w:rPr>
                <w:rFonts w:hint="eastAsia" w:ascii="宋体" w:hAnsi="宋体" w:cs="宋体"/>
                <w:szCs w:val="21"/>
              </w:rPr>
              <w:t>个万兆单模</w:t>
            </w:r>
            <w:r>
              <w:rPr>
                <w:rFonts w:ascii="宋体" w:hAnsi="宋体" w:cs="宋体"/>
                <w:szCs w:val="21"/>
              </w:rPr>
              <w:t>20</w:t>
            </w:r>
            <w:r>
              <w:rPr>
                <w:rFonts w:hint="eastAsia" w:ascii="宋体" w:hAnsi="宋体" w:cs="宋体"/>
                <w:szCs w:val="21"/>
              </w:rPr>
              <w:t>km模块）</w:t>
            </w:r>
          </w:p>
        </w:tc>
        <w:tc>
          <w:tcPr>
            <w:tcW w:w="709" w:type="dxa"/>
            <w:shd w:val="clear" w:color="auto" w:fill="auto"/>
            <w:vAlign w:val="center"/>
          </w:tcPr>
          <w:p>
            <w:pPr>
              <w:widowControl/>
              <w:jc w:val="center"/>
              <w:rPr>
                <w:rFonts w:hint="eastAsia" w:ascii="等线" w:hAnsi="宋体" w:eastAsia="等线" w:cs="宋体"/>
                <w:b/>
                <w:color w:val="000000"/>
                <w:kern w:val="0"/>
                <w:sz w:val="22"/>
              </w:rPr>
            </w:pPr>
            <w:r>
              <w:rPr>
                <w:rFonts w:hint="eastAsia" w:ascii="宋体" w:hAnsi="宋体" w:cs="宋体"/>
                <w:color w:val="000000"/>
                <w:kern w:val="0"/>
                <w:sz w:val="22"/>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79" w:type="dxa"/>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2</w:t>
            </w:r>
          </w:p>
        </w:tc>
        <w:tc>
          <w:tcPr>
            <w:tcW w:w="2051" w:type="dxa"/>
            <w:vAlign w:val="center"/>
          </w:tcPr>
          <w:p>
            <w:pPr>
              <w:widowControl/>
              <w:jc w:val="center"/>
              <w:rPr>
                <w:rFonts w:hint="eastAsia" w:ascii="宋体" w:hAnsi="宋体" w:cs="宋体"/>
                <w:szCs w:val="21"/>
              </w:rPr>
            </w:pPr>
            <w:r>
              <w:rPr>
                <w:rFonts w:hint="eastAsia" w:ascii="宋体" w:hAnsi="宋体" w:cs="宋体"/>
                <w:color w:val="000000"/>
                <w:kern w:val="0"/>
                <w:sz w:val="22"/>
              </w:rPr>
              <w:t>汇聚交换机</w:t>
            </w:r>
          </w:p>
        </w:tc>
        <w:tc>
          <w:tcPr>
            <w:tcW w:w="4819" w:type="dxa"/>
            <w:shd w:val="clear" w:color="auto" w:fill="auto"/>
            <w:vAlign w:val="center"/>
          </w:tcPr>
          <w:p>
            <w:pPr>
              <w:widowControl/>
              <w:rPr>
                <w:rFonts w:hint="eastAsia" w:ascii="宋体" w:hAnsi="宋体" w:cs="宋体"/>
                <w:szCs w:val="21"/>
              </w:rPr>
            </w:pPr>
            <w:r>
              <w:rPr>
                <w:rFonts w:ascii="宋体" w:hAnsi="宋体" w:cs="宋体"/>
                <w:szCs w:val="21"/>
              </w:rPr>
              <w:t>48</w:t>
            </w:r>
            <w:r>
              <w:rPr>
                <w:rFonts w:hint="eastAsia" w:ascii="宋体" w:hAnsi="宋体" w:cs="宋体"/>
                <w:szCs w:val="21"/>
              </w:rPr>
              <w:t>口万兆光口、双电源（含4</w:t>
            </w:r>
            <w:r>
              <w:rPr>
                <w:rFonts w:ascii="宋体" w:hAnsi="宋体" w:cs="宋体"/>
                <w:szCs w:val="21"/>
              </w:rPr>
              <w:t>8</w:t>
            </w:r>
            <w:r>
              <w:rPr>
                <w:rFonts w:hint="eastAsia" w:ascii="宋体" w:hAnsi="宋体" w:cs="宋体"/>
                <w:szCs w:val="21"/>
              </w:rPr>
              <w:t>个万兆多光模块）</w:t>
            </w:r>
          </w:p>
        </w:tc>
        <w:tc>
          <w:tcPr>
            <w:tcW w:w="709" w:type="dxa"/>
            <w:shd w:val="clear" w:color="auto" w:fill="auto"/>
            <w:vAlign w:val="center"/>
          </w:tcPr>
          <w:p>
            <w:pPr>
              <w:widowControl/>
              <w:jc w:val="center"/>
              <w:rPr>
                <w:rFonts w:hint="eastAsia" w:ascii="宋体" w:hAnsi="宋体" w:cs="宋体"/>
                <w:color w:val="000000"/>
                <w:kern w:val="0"/>
                <w:sz w:val="22"/>
              </w:rPr>
            </w:pPr>
            <w:r>
              <w:rPr>
                <w:rFonts w:ascii="宋体" w:hAnsi="宋体" w:cs="宋体"/>
                <w:color w:val="000000"/>
                <w:kern w:val="0"/>
                <w:sz w:val="22"/>
              </w:rPr>
              <w:t>1</w:t>
            </w:r>
            <w:r>
              <w:rPr>
                <w:rFonts w:hint="eastAsia" w:ascii="宋体" w:hAnsi="宋体" w:cs="宋体"/>
                <w:color w:val="000000"/>
                <w:kern w:val="0"/>
                <w:sz w:val="22"/>
              </w:rPr>
              <w:t>套</w:t>
            </w:r>
          </w:p>
        </w:tc>
      </w:tr>
    </w:tbl>
    <w:p>
      <w:pPr>
        <w:pStyle w:val="31"/>
        <w:numPr>
          <w:ilvl w:val="0"/>
          <w:numId w:val="3"/>
        </w:numPr>
        <w:spacing w:line="420" w:lineRule="exact"/>
        <w:ind w:firstLine="0" w:firstLineChars="0"/>
        <w:rPr>
          <w:rFonts w:ascii="宋体" w:hAnsi="宋体"/>
          <w:b/>
          <w:kern w:val="0"/>
          <w:sz w:val="21"/>
          <w:szCs w:val="21"/>
        </w:rPr>
      </w:pPr>
      <w:r>
        <w:rPr>
          <w:rFonts w:hint="eastAsia" w:ascii="宋体" w:hAnsi="宋体"/>
          <w:b/>
          <w:kern w:val="0"/>
          <w:sz w:val="21"/>
          <w:szCs w:val="21"/>
        </w:rPr>
        <w:t>招标参数</w:t>
      </w:r>
    </w:p>
    <w:p>
      <w:pPr>
        <w:spacing w:line="360" w:lineRule="auto"/>
        <w:ind w:firstLine="480"/>
        <w:rPr>
          <w:rFonts w:hint="eastAsia" w:hAnsi="宋体"/>
          <w:lang w:val="zh-CN"/>
        </w:rPr>
      </w:pPr>
      <w:r>
        <w:rPr>
          <w:rFonts w:hint="eastAsia" w:hAnsi="宋体"/>
          <w:lang w:val="zh-CN"/>
        </w:rPr>
        <w:t>1、内网核心交换机</w:t>
      </w:r>
    </w:p>
    <w:tbl>
      <w:tblPr>
        <w:tblStyle w:val="22"/>
        <w:tblW w:w="4979" w:type="pct"/>
        <w:tblInd w:w="0" w:type="dxa"/>
        <w:tblLayout w:type="autofit"/>
        <w:tblCellMar>
          <w:top w:w="15" w:type="dxa"/>
          <w:left w:w="15" w:type="dxa"/>
          <w:bottom w:w="15" w:type="dxa"/>
          <w:right w:w="15" w:type="dxa"/>
        </w:tblCellMar>
      </w:tblPr>
      <w:tblGrid>
        <w:gridCol w:w="1519"/>
        <w:gridCol w:w="6979"/>
      </w:tblGrid>
      <w:tr>
        <w:tblPrEx>
          <w:tblCellMar>
            <w:top w:w="15" w:type="dxa"/>
            <w:left w:w="15" w:type="dxa"/>
            <w:bottom w:w="15" w:type="dxa"/>
            <w:right w:w="15" w:type="dxa"/>
          </w:tblCellMar>
        </w:tblPrEx>
        <w:trPr>
          <w:trHeight w:val="227" w:hRule="atLeast"/>
        </w:trPr>
        <w:tc>
          <w:tcPr>
            <w:tcW w:w="894" w:type="pct"/>
            <w:tcBorders>
              <w:top w:val="single" w:color="auto" w:sz="4" w:space="0"/>
              <w:left w:val="single" w:color="auto" w:sz="4" w:space="0"/>
              <w:bottom w:val="single" w:color="auto" w:sz="4" w:space="0"/>
              <w:right w:val="single" w:color="auto" w:sz="4" w:space="0"/>
            </w:tcBorders>
            <w:shd w:val="clear" w:color="auto" w:fill="D0CECE"/>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指标项</w:t>
            </w:r>
          </w:p>
        </w:tc>
        <w:tc>
          <w:tcPr>
            <w:tcW w:w="4106" w:type="pct"/>
            <w:tcBorders>
              <w:top w:val="single" w:color="auto" w:sz="4" w:space="0"/>
              <w:left w:val="single" w:color="auto" w:sz="4" w:space="0"/>
              <w:bottom w:val="single" w:color="auto" w:sz="4" w:space="0"/>
              <w:right w:val="single" w:color="auto" w:sz="4" w:space="0"/>
            </w:tcBorders>
            <w:shd w:val="clear" w:color="auto" w:fill="D0CECE"/>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技术指标要求</w:t>
            </w:r>
          </w:p>
        </w:tc>
      </w:tr>
      <w:tr>
        <w:tblPrEx>
          <w:tblCellMar>
            <w:top w:w="15" w:type="dxa"/>
            <w:left w:w="15" w:type="dxa"/>
            <w:bottom w:w="15" w:type="dxa"/>
            <w:right w:w="15" w:type="dxa"/>
          </w:tblCellMar>
        </w:tblPrEx>
        <w:trPr>
          <w:trHeight w:val="4332" w:hRule="atLeast"/>
        </w:trPr>
        <w:tc>
          <w:tcPr>
            <w:tcW w:w="894" w:type="pc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基本要求</w:t>
            </w:r>
          </w:p>
        </w:tc>
        <w:tc>
          <w:tcPr>
            <w:tcW w:w="4106" w:type="pct"/>
            <w:tcBorders>
              <w:top w:val="single" w:color="auto" w:sz="4" w:space="0"/>
              <w:left w:val="single" w:color="auto" w:sz="4" w:space="0"/>
              <w:right w:val="single" w:color="auto" w:sz="4" w:space="0"/>
            </w:tcBorders>
            <w:vAlign w:val="center"/>
          </w:tcPr>
          <w:p>
            <w:pPr>
              <w:widowControl/>
              <w:rPr>
                <w:rFonts w:ascii="宋体" w:hAnsi="宋体" w:cs="宋体"/>
                <w:color w:val="000000"/>
                <w:kern w:val="0"/>
                <w:sz w:val="22"/>
              </w:rPr>
            </w:pPr>
            <w:r>
              <w:rPr>
                <w:rFonts w:hint="eastAsia" w:ascii="宋体" w:hAnsi="宋体" w:cs="宋体"/>
                <w:color w:val="000000"/>
                <w:kern w:val="0"/>
                <w:sz w:val="22"/>
              </w:rPr>
              <w:t>采用信元交换架构，主控引擎与交换网板硬件分离。</w:t>
            </w:r>
          </w:p>
          <w:p>
            <w:pPr>
              <w:widowControl/>
              <w:rPr>
                <w:rFonts w:ascii="宋体" w:hAnsi="宋体" w:cs="宋体"/>
                <w:color w:val="000000"/>
                <w:kern w:val="0"/>
                <w:sz w:val="22"/>
              </w:rPr>
            </w:pPr>
            <w:r>
              <w:rPr>
                <w:rFonts w:hint="eastAsia" w:ascii="宋体" w:hAnsi="宋体" w:cs="宋体"/>
                <w:color w:val="000000"/>
                <w:kern w:val="0"/>
                <w:sz w:val="22"/>
              </w:rPr>
              <w:t>交换容量≥</w:t>
            </w:r>
            <w:r>
              <w:rPr>
                <w:rFonts w:ascii="宋体" w:hAnsi="宋体" w:cs="宋体"/>
                <w:color w:val="000000"/>
                <w:kern w:val="0"/>
                <w:sz w:val="22"/>
              </w:rPr>
              <w:t>500Tbps，包转发率≥28000 Mpps（如有多值以标称值最小值为准）。</w:t>
            </w:r>
          </w:p>
          <w:p>
            <w:pPr>
              <w:widowControl/>
              <w:rPr>
                <w:rFonts w:ascii="宋体" w:hAnsi="宋体" w:cs="宋体"/>
                <w:color w:val="000000"/>
                <w:kern w:val="0"/>
                <w:sz w:val="22"/>
              </w:rPr>
            </w:pPr>
            <w:r>
              <w:rPr>
                <w:rFonts w:hint="eastAsia" w:ascii="宋体" w:hAnsi="宋体" w:cs="宋体"/>
                <w:color w:val="000000"/>
                <w:kern w:val="0"/>
                <w:sz w:val="22"/>
              </w:rPr>
              <w:t>支持独立的硬件监控板卡</w:t>
            </w:r>
            <w:r>
              <w:rPr>
                <w:rFonts w:ascii="宋体" w:hAnsi="宋体" w:cs="宋体"/>
                <w:color w:val="000000"/>
                <w:kern w:val="0"/>
                <w:sz w:val="22"/>
              </w:rPr>
              <w:t xml:space="preserve">, </w:t>
            </w:r>
            <w:r>
              <w:rPr>
                <w:rFonts w:hint="eastAsia" w:ascii="宋体" w:hAnsi="宋体" w:cs="宋体"/>
                <w:color w:val="000000"/>
                <w:kern w:val="0"/>
                <w:sz w:val="22"/>
              </w:rPr>
              <w:t>控制平面和监控平面物理槽位分离，支持</w:t>
            </w:r>
            <w:r>
              <w:rPr>
                <w:rFonts w:ascii="宋体" w:hAnsi="宋体" w:cs="宋体"/>
                <w:color w:val="000000"/>
                <w:kern w:val="0"/>
                <w:sz w:val="22"/>
              </w:rPr>
              <w:t>1+1备份，能集中监控板卡、风扇、电源、环境，能调节能耗</w:t>
            </w:r>
            <w:r>
              <w:rPr>
                <w:rFonts w:hint="eastAsia" w:ascii="宋体" w:hAnsi="宋体" w:cs="宋体"/>
                <w:color w:val="000000"/>
                <w:kern w:val="0"/>
                <w:sz w:val="22"/>
              </w:rPr>
              <w:t>。</w:t>
            </w:r>
          </w:p>
          <w:p>
            <w:pPr>
              <w:widowControl/>
              <w:rPr>
                <w:rFonts w:ascii="宋体" w:hAnsi="宋体" w:cs="宋体"/>
                <w:color w:val="000000"/>
                <w:kern w:val="0"/>
                <w:sz w:val="22"/>
              </w:rPr>
            </w:pPr>
            <w:r>
              <w:rPr>
                <w:rFonts w:hint="eastAsia" w:ascii="宋体" w:hAnsi="宋体" w:cs="宋体"/>
                <w:color w:val="000000"/>
                <w:kern w:val="0"/>
                <w:sz w:val="22"/>
              </w:rPr>
              <w:t>支持每槽位转发能力≥</w:t>
            </w:r>
            <w:r>
              <w:rPr>
                <w:rFonts w:ascii="宋体" w:hAnsi="宋体" w:cs="宋体"/>
                <w:color w:val="000000"/>
                <w:kern w:val="0"/>
                <w:sz w:val="22"/>
              </w:rPr>
              <w:t>2.4Tbps</w:t>
            </w:r>
            <w:r>
              <w:rPr>
                <w:rFonts w:hint="eastAsia" w:ascii="宋体" w:hAnsi="宋体" w:cs="宋体"/>
                <w:color w:val="000000"/>
                <w:kern w:val="0"/>
                <w:sz w:val="22"/>
              </w:rPr>
              <w:t>。</w:t>
            </w:r>
          </w:p>
          <w:p>
            <w:pPr>
              <w:widowControl/>
              <w:rPr>
                <w:rFonts w:ascii="宋体" w:hAnsi="宋体" w:cs="宋体"/>
                <w:color w:val="000000"/>
                <w:kern w:val="0"/>
                <w:sz w:val="22"/>
              </w:rPr>
            </w:pPr>
            <w:r>
              <w:rPr>
                <w:rFonts w:hint="eastAsia" w:ascii="宋体" w:hAnsi="宋体" w:cs="宋体"/>
                <w:color w:val="000000"/>
                <w:kern w:val="0"/>
                <w:sz w:val="22"/>
              </w:rPr>
              <w:t>主控引擎≥</w:t>
            </w:r>
            <w:r>
              <w:rPr>
                <w:rFonts w:ascii="宋体" w:hAnsi="宋体" w:cs="宋体"/>
                <w:color w:val="000000"/>
                <w:kern w:val="0"/>
                <w:sz w:val="22"/>
              </w:rPr>
              <w:t>2；独立交换网板≥4；整机业务板槽位数≥8</w:t>
            </w:r>
            <w:r>
              <w:rPr>
                <w:rFonts w:hint="eastAsia" w:ascii="宋体" w:hAnsi="宋体" w:cs="宋体"/>
                <w:color w:val="000000"/>
                <w:kern w:val="0"/>
                <w:sz w:val="22"/>
              </w:rPr>
              <w:t>。</w:t>
            </w:r>
          </w:p>
          <w:p>
            <w:pPr>
              <w:widowControl/>
              <w:rPr>
                <w:rFonts w:ascii="宋体" w:hAnsi="宋体" w:cs="宋体"/>
                <w:color w:val="000000"/>
                <w:kern w:val="0"/>
                <w:sz w:val="22"/>
              </w:rPr>
            </w:pPr>
            <w:r>
              <w:rPr>
                <w:rFonts w:hint="eastAsia" w:ascii="宋体" w:hAnsi="宋体" w:cs="宋体"/>
                <w:color w:val="000000"/>
                <w:kern w:val="0"/>
                <w:sz w:val="22"/>
              </w:rPr>
              <w:t>支持颗粒化电源，支持</w:t>
            </w:r>
            <w:r>
              <w:rPr>
                <w:rFonts w:ascii="宋体" w:hAnsi="宋体" w:cs="宋体"/>
                <w:color w:val="000000"/>
                <w:kern w:val="0"/>
                <w:sz w:val="22"/>
              </w:rPr>
              <w:t>M+N</w:t>
            </w:r>
            <w:r>
              <w:rPr>
                <w:rFonts w:hint="eastAsia" w:ascii="宋体" w:hAnsi="宋体" w:cs="宋体"/>
                <w:color w:val="000000"/>
                <w:kern w:val="0"/>
                <w:sz w:val="22"/>
              </w:rPr>
              <w:t>电源冗余，电源槽位≥</w:t>
            </w:r>
            <w:r>
              <w:rPr>
                <w:rFonts w:ascii="宋体" w:hAnsi="宋体" w:cs="宋体"/>
                <w:color w:val="000000"/>
                <w:kern w:val="0"/>
                <w:sz w:val="22"/>
              </w:rPr>
              <w:t>6</w:t>
            </w:r>
            <w:r>
              <w:rPr>
                <w:rFonts w:hint="eastAsia" w:ascii="宋体" w:hAnsi="宋体" w:cs="宋体"/>
                <w:color w:val="000000"/>
                <w:kern w:val="0"/>
                <w:sz w:val="22"/>
              </w:rPr>
              <w:t>。</w:t>
            </w:r>
          </w:p>
          <w:p>
            <w:pPr>
              <w:widowControl/>
              <w:rPr>
                <w:rFonts w:ascii="宋体" w:hAnsi="宋体" w:cs="宋体"/>
                <w:color w:val="000000"/>
                <w:kern w:val="0"/>
                <w:sz w:val="22"/>
              </w:rPr>
            </w:pPr>
            <w:r>
              <w:rPr>
                <w:rFonts w:hint="eastAsia" w:ascii="宋体" w:hAnsi="宋体" w:cs="宋体"/>
                <w:color w:val="000000"/>
                <w:kern w:val="0"/>
                <w:sz w:val="22"/>
              </w:rPr>
              <w:t>为保证设备散热效果和可靠性，要求设备支持模块化风扇框，可热插拔，当单个风扇框发生故障时，有其他风扇正常运行，保证设备散热，独立风扇框数≥</w:t>
            </w:r>
            <w:r>
              <w:rPr>
                <w:rFonts w:ascii="宋体" w:hAnsi="宋体" w:cs="宋体"/>
                <w:color w:val="000000"/>
                <w:kern w:val="0"/>
                <w:sz w:val="22"/>
              </w:rPr>
              <w:t>4</w:t>
            </w:r>
            <w:r>
              <w:rPr>
                <w:rFonts w:hint="eastAsia" w:ascii="宋体" w:hAnsi="宋体" w:cs="宋体"/>
                <w:color w:val="000000"/>
                <w:kern w:val="0"/>
                <w:sz w:val="22"/>
              </w:rPr>
              <w:t>。</w:t>
            </w:r>
          </w:p>
          <w:p>
            <w:pPr>
              <w:widowControl/>
              <w:rPr>
                <w:rFonts w:ascii="宋体" w:hAnsi="宋体" w:cs="宋体"/>
                <w:color w:val="000000"/>
                <w:kern w:val="0"/>
                <w:sz w:val="22"/>
              </w:rPr>
            </w:pPr>
            <w:r>
              <w:rPr>
                <w:rFonts w:hint="eastAsia" w:ascii="宋体" w:hAnsi="宋体" w:cs="宋体"/>
                <w:color w:val="000000"/>
                <w:kern w:val="0"/>
                <w:sz w:val="22"/>
              </w:rPr>
              <w:t>为适应机柜并排部署，采用机箱（包括业务</w:t>
            </w:r>
            <w:r>
              <w:rPr>
                <w:rFonts w:ascii="宋体" w:hAnsi="宋体" w:cs="宋体"/>
                <w:color w:val="000000"/>
                <w:kern w:val="0"/>
                <w:sz w:val="22"/>
              </w:rPr>
              <w:t>板卡区</w:t>
            </w:r>
            <w:r>
              <w:rPr>
                <w:rFonts w:hint="eastAsia" w:ascii="宋体" w:hAnsi="宋体" w:cs="宋体"/>
                <w:color w:val="000000"/>
                <w:kern w:val="0"/>
                <w:sz w:val="22"/>
              </w:rPr>
              <w:t>）后出风风道设计。</w:t>
            </w:r>
          </w:p>
          <w:p>
            <w:pPr>
              <w:widowControl/>
              <w:rPr>
                <w:rFonts w:ascii="宋体" w:hAnsi="宋体" w:cs="宋体"/>
                <w:color w:val="000000"/>
                <w:kern w:val="0"/>
                <w:sz w:val="22"/>
              </w:rPr>
            </w:pPr>
            <w:r>
              <w:rPr>
                <w:rFonts w:hint="eastAsia" w:ascii="宋体" w:hAnsi="宋体" w:cs="宋体"/>
                <w:color w:val="000000"/>
                <w:kern w:val="0"/>
                <w:sz w:val="22"/>
              </w:rPr>
              <w:t>支持横向虚拟化技术，将多台设备虚拟为一台，支持长距离集群。</w:t>
            </w:r>
          </w:p>
          <w:p>
            <w:pPr>
              <w:widowControl/>
              <w:rPr>
                <w:rFonts w:ascii="宋体" w:hAnsi="宋体" w:cs="宋体"/>
                <w:color w:val="000000"/>
                <w:kern w:val="0"/>
                <w:sz w:val="22"/>
              </w:rPr>
            </w:pPr>
            <w:r>
              <w:rPr>
                <w:rFonts w:hint="eastAsia" w:ascii="宋体" w:hAnsi="宋体" w:cs="宋体"/>
                <w:color w:val="000000"/>
                <w:kern w:val="0"/>
                <w:sz w:val="22"/>
              </w:rPr>
              <w:t>支持</w:t>
            </w:r>
            <w:r>
              <w:rPr>
                <w:rFonts w:ascii="宋体" w:hAnsi="宋体" w:cs="宋体"/>
                <w:color w:val="000000"/>
                <w:kern w:val="0"/>
                <w:sz w:val="22"/>
              </w:rPr>
              <w:t>VxLAN</w:t>
            </w:r>
            <w:r>
              <w:rPr>
                <w:rFonts w:hint="eastAsia" w:ascii="宋体" w:hAnsi="宋体" w:cs="宋体"/>
                <w:color w:val="000000"/>
                <w:kern w:val="0"/>
                <w:sz w:val="22"/>
              </w:rPr>
              <w:t>功能，支持</w:t>
            </w:r>
            <w:r>
              <w:rPr>
                <w:rFonts w:ascii="宋体" w:hAnsi="宋体" w:cs="宋体"/>
                <w:color w:val="000000"/>
                <w:kern w:val="0"/>
                <w:sz w:val="22"/>
              </w:rPr>
              <w:t>VxLAN</w:t>
            </w:r>
            <w:r>
              <w:rPr>
                <w:rFonts w:hint="eastAsia" w:ascii="宋体" w:hAnsi="宋体" w:cs="宋体"/>
                <w:color w:val="000000"/>
                <w:kern w:val="0"/>
                <w:sz w:val="22"/>
              </w:rPr>
              <w:t>二层网关、三层网关，支持</w:t>
            </w:r>
            <w:r>
              <w:rPr>
                <w:rFonts w:ascii="宋体" w:hAnsi="宋体" w:cs="宋体"/>
                <w:color w:val="000000"/>
                <w:kern w:val="0"/>
                <w:sz w:val="22"/>
              </w:rPr>
              <w:t>BGPEVPN</w:t>
            </w:r>
            <w:r>
              <w:rPr>
                <w:rFonts w:hint="eastAsia" w:ascii="宋体" w:hAnsi="宋体" w:cs="宋体"/>
                <w:color w:val="000000"/>
                <w:kern w:val="0"/>
                <w:sz w:val="22"/>
              </w:rPr>
              <w:t>，实现自动建立隧道。</w:t>
            </w:r>
          </w:p>
          <w:p>
            <w:pPr>
              <w:widowControl/>
              <w:rPr>
                <w:rFonts w:ascii="宋体" w:hAnsi="宋体" w:cs="宋体"/>
                <w:color w:val="000000"/>
                <w:kern w:val="0"/>
                <w:sz w:val="22"/>
              </w:rPr>
            </w:pPr>
            <w:r>
              <w:rPr>
                <w:rFonts w:hint="eastAsia" w:ascii="宋体" w:hAnsi="宋体" w:cs="宋体"/>
                <w:color w:val="000000"/>
                <w:kern w:val="0"/>
                <w:sz w:val="22"/>
              </w:rPr>
              <w:t>支持</w:t>
            </w:r>
            <w:r>
              <w:rPr>
                <w:rFonts w:ascii="宋体" w:hAnsi="宋体" w:cs="宋体"/>
                <w:color w:val="000000"/>
                <w:kern w:val="0"/>
                <w:sz w:val="22"/>
              </w:rPr>
              <w:t>802.1X/MAC/Portal等认证方式，支持DAA</w:t>
            </w:r>
            <w:r>
              <w:rPr>
                <w:rFonts w:hint="eastAsia" w:ascii="宋体" w:hAnsi="宋体" w:cs="宋体"/>
                <w:color w:val="000000"/>
                <w:kern w:val="0"/>
                <w:sz w:val="22"/>
              </w:rPr>
              <w:t>、基于流量和时长计费方式。</w:t>
            </w:r>
          </w:p>
          <w:p>
            <w:pPr>
              <w:widowControl/>
              <w:rPr>
                <w:rFonts w:ascii="宋体" w:hAnsi="宋体" w:cs="宋体"/>
                <w:color w:val="000000"/>
                <w:kern w:val="0"/>
                <w:sz w:val="22"/>
              </w:rPr>
            </w:pPr>
            <w:r>
              <w:rPr>
                <w:rFonts w:hint="eastAsia" w:ascii="宋体" w:hAnsi="宋体" w:cs="宋体"/>
                <w:color w:val="000000"/>
                <w:kern w:val="0"/>
                <w:sz w:val="22"/>
              </w:rPr>
              <w:t>支持硬件</w:t>
            </w:r>
            <w:r>
              <w:rPr>
                <w:rFonts w:ascii="宋体" w:hAnsi="宋体" w:cs="宋体"/>
                <w:color w:val="000000"/>
                <w:kern w:val="0"/>
                <w:sz w:val="22"/>
              </w:rPr>
              <w:t>BFD/OAM，3.3ms</w:t>
            </w:r>
            <w:r>
              <w:rPr>
                <w:rFonts w:hint="eastAsia" w:ascii="宋体" w:hAnsi="宋体" w:cs="宋体"/>
                <w:color w:val="000000"/>
                <w:kern w:val="0"/>
                <w:sz w:val="22"/>
              </w:rPr>
              <w:t>稳定均匀发包检测，提高设备的可靠性。</w:t>
            </w:r>
          </w:p>
          <w:p>
            <w:pPr>
              <w:widowControl/>
              <w:rPr>
                <w:rFonts w:ascii="宋体" w:hAnsi="宋体" w:cs="宋体"/>
                <w:color w:val="000000"/>
                <w:kern w:val="0"/>
                <w:sz w:val="22"/>
              </w:rPr>
            </w:pPr>
            <w:r>
              <w:rPr>
                <w:rFonts w:hint="eastAsia" w:ascii="宋体" w:hAnsi="宋体" w:cs="宋体"/>
                <w:color w:val="000000"/>
                <w:kern w:val="0"/>
                <w:sz w:val="22"/>
              </w:rPr>
              <w:t>支持</w:t>
            </w:r>
            <w:r>
              <w:rPr>
                <w:rFonts w:ascii="宋体" w:hAnsi="宋体" w:cs="宋体"/>
                <w:color w:val="000000"/>
                <w:kern w:val="0"/>
                <w:sz w:val="22"/>
              </w:rPr>
              <w:t>G.8032</w:t>
            </w:r>
            <w:r>
              <w:rPr>
                <w:rFonts w:hint="eastAsia" w:ascii="宋体" w:hAnsi="宋体" w:cs="宋体"/>
                <w:color w:val="000000"/>
                <w:kern w:val="0"/>
                <w:sz w:val="22"/>
              </w:rPr>
              <w:t>标准以太</w:t>
            </w:r>
            <w:r>
              <w:rPr>
                <w:rFonts w:ascii="宋体" w:hAnsi="宋体" w:cs="宋体"/>
                <w:color w:val="000000"/>
                <w:kern w:val="0"/>
                <w:sz w:val="22"/>
              </w:rPr>
              <w:t>环网</w:t>
            </w:r>
            <w:r>
              <w:rPr>
                <w:rFonts w:hint="eastAsia" w:ascii="宋体" w:hAnsi="宋体" w:cs="宋体"/>
                <w:color w:val="000000"/>
                <w:kern w:val="0"/>
                <w:sz w:val="22"/>
              </w:rPr>
              <w:t>协议，倒换时间≤</w:t>
            </w:r>
            <w:r>
              <w:rPr>
                <w:rFonts w:ascii="宋体" w:hAnsi="宋体" w:cs="宋体"/>
                <w:color w:val="000000"/>
                <w:kern w:val="0"/>
                <w:sz w:val="22"/>
              </w:rPr>
              <w:t>50ms</w:t>
            </w:r>
            <w:r>
              <w:rPr>
                <w:rFonts w:hint="eastAsia" w:ascii="宋体" w:hAnsi="宋体" w:cs="宋体"/>
                <w:color w:val="000000"/>
                <w:kern w:val="0"/>
                <w:sz w:val="22"/>
              </w:rPr>
              <w:t>。</w:t>
            </w:r>
          </w:p>
        </w:tc>
      </w:tr>
      <w:tr>
        <w:tblPrEx>
          <w:tblCellMar>
            <w:top w:w="15" w:type="dxa"/>
            <w:left w:w="15" w:type="dxa"/>
            <w:bottom w:w="15" w:type="dxa"/>
            <w:right w:w="15" w:type="dxa"/>
          </w:tblCellMar>
        </w:tblPrEx>
        <w:trPr>
          <w:trHeight w:val="227" w:hRule="atLeast"/>
        </w:trPr>
        <w:tc>
          <w:tcPr>
            <w:tcW w:w="894" w:type="pc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2"/>
              </w:rPr>
            </w:pPr>
            <w:r>
              <w:rPr>
                <w:rFonts w:hint="eastAsia" w:ascii="宋体" w:hAnsi="宋体" w:cs="宋体"/>
                <w:color w:val="000000"/>
                <w:kern w:val="0"/>
                <w:sz w:val="22"/>
              </w:rPr>
              <w:t>配置要求</w:t>
            </w:r>
          </w:p>
        </w:tc>
        <w:tc>
          <w:tcPr>
            <w:tcW w:w="4106" w:type="pc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2"/>
              </w:rPr>
            </w:pPr>
            <w:r>
              <w:rPr>
                <w:rFonts w:hint="eastAsia" w:ascii="宋体" w:hAnsi="宋体" w:cs="宋体"/>
                <w:color w:val="000000"/>
                <w:kern w:val="0"/>
                <w:sz w:val="22"/>
              </w:rPr>
              <w:t>配置双主控，双交换网板，风扇框满配，交流电源≥</w:t>
            </w:r>
            <w:r>
              <w:rPr>
                <w:rFonts w:ascii="宋体" w:hAnsi="宋体" w:cs="宋体"/>
                <w:color w:val="000000"/>
                <w:kern w:val="0"/>
                <w:sz w:val="22"/>
              </w:rPr>
              <w:t>2</w:t>
            </w:r>
            <w:r>
              <w:rPr>
                <w:rFonts w:hint="eastAsia" w:ascii="宋体" w:hAnsi="宋体" w:cs="宋体"/>
                <w:color w:val="000000"/>
                <w:kern w:val="0"/>
                <w:sz w:val="22"/>
              </w:rPr>
              <w:t>，配置万兆光口≥</w:t>
            </w:r>
            <w:r>
              <w:rPr>
                <w:rFonts w:ascii="宋体" w:hAnsi="宋体" w:cs="宋体"/>
                <w:color w:val="000000"/>
                <w:kern w:val="0"/>
                <w:sz w:val="22"/>
              </w:rPr>
              <w:t>48</w:t>
            </w:r>
            <w:r>
              <w:rPr>
                <w:rFonts w:hint="eastAsia" w:ascii="宋体" w:hAnsi="宋体" w:cs="宋体"/>
                <w:color w:val="000000"/>
                <w:kern w:val="0"/>
                <w:sz w:val="22"/>
              </w:rPr>
              <w:t>，千兆电</w:t>
            </w:r>
            <w:r>
              <w:rPr>
                <w:rFonts w:ascii="宋体" w:hAnsi="宋体" w:cs="宋体"/>
                <w:color w:val="000000"/>
                <w:kern w:val="0"/>
                <w:sz w:val="22"/>
              </w:rPr>
              <w:t>口</w:t>
            </w:r>
            <w:r>
              <w:rPr>
                <w:rFonts w:hint="eastAsia" w:ascii="宋体" w:hAnsi="宋体" w:cs="宋体"/>
                <w:color w:val="000000"/>
                <w:kern w:val="0"/>
                <w:sz w:val="22"/>
              </w:rPr>
              <w:t>≥</w:t>
            </w:r>
            <w:r>
              <w:rPr>
                <w:rFonts w:ascii="宋体" w:hAnsi="宋体" w:cs="宋体"/>
                <w:color w:val="000000"/>
                <w:kern w:val="0"/>
                <w:sz w:val="22"/>
              </w:rPr>
              <w:t>48，10G</w:t>
            </w:r>
            <w:r>
              <w:rPr>
                <w:rFonts w:hint="eastAsia" w:ascii="宋体" w:hAnsi="宋体" w:cs="宋体"/>
                <w:color w:val="000000"/>
                <w:kern w:val="0"/>
                <w:sz w:val="22"/>
              </w:rPr>
              <w:t>堆叠线缆</w:t>
            </w:r>
            <w:r>
              <w:rPr>
                <w:rFonts w:ascii="宋体" w:hAnsi="宋体" w:cs="宋体"/>
                <w:color w:val="000000"/>
                <w:kern w:val="0"/>
                <w:sz w:val="22"/>
              </w:rPr>
              <w:t>-5m*2</w:t>
            </w:r>
            <w:r>
              <w:rPr>
                <w:rFonts w:hint="eastAsia" w:ascii="宋体" w:hAnsi="宋体" w:cs="宋体"/>
                <w:color w:val="000000"/>
                <w:kern w:val="0"/>
                <w:sz w:val="22"/>
              </w:rPr>
              <w:t>。</w:t>
            </w:r>
          </w:p>
        </w:tc>
      </w:tr>
    </w:tbl>
    <w:p>
      <w:pPr>
        <w:spacing w:line="360" w:lineRule="auto"/>
        <w:ind w:firstLine="480"/>
        <w:rPr>
          <w:rFonts w:hAnsi="宋体"/>
          <w:lang w:val="zh-CN"/>
        </w:rPr>
      </w:pPr>
    </w:p>
    <w:p>
      <w:pPr>
        <w:spacing w:line="360" w:lineRule="auto"/>
        <w:ind w:firstLine="480"/>
        <w:rPr>
          <w:rFonts w:hAnsi="宋体"/>
          <w:lang w:val="zh-CN"/>
        </w:rPr>
      </w:pPr>
      <w:r>
        <w:rPr>
          <w:rFonts w:hint="eastAsia" w:hAnsi="宋体"/>
          <w:lang w:val="zh-CN"/>
        </w:rPr>
        <w:t>2、汇聚交换机</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7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pct"/>
            <w:shd w:val="clear" w:color="auto" w:fill="D0CECE"/>
          </w:tcPr>
          <w:p>
            <w:pPr>
              <w:jc w:val="center"/>
              <w:textAlignment w:val="center"/>
              <w:rPr>
                <w:rFonts w:ascii="宋体" w:hAnsi="宋体" w:cs="宋体"/>
                <w:b/>
                <w:bCs/>
                <w:color w:val="000000"/>
                <w:kern w:val="0"/>
              </w:rPr>
            </w:pPr>
            <w:r>
              <w:rPr>
                <w:rFonts w:hint="eastAsia" w:ascii="宋体" w:hAnsi="宋体" w:cs="宋体"/>
                <w:b/>
                <w:bCs/>
                <w:color w:val="000000"/>
                <w:kern w:val="0"/>
              </w:rPr>
              <w:t>指标项</w:t>
            </w:r>
          </w:p>
        </w:tc>
        <w:tc>
          <w:tcPr>
            <w:tcW w:w="4117" w:type="pct"/>
            <w:shd w:val="clear" w:color="auto" w:fill="D0CECE"/>
          </w:tcPr>
          <w:p>
            <w:pPr>
              <w:jc w:val="center"/>
              <w:textAlignment w:val="center"/>
              <w:rPr>
                <w:rFonts w:ascii="宋体" w:hAnsi="宋体" w:cs="宋体"/>
                <w:b/>
                <w:bCs/>
                <w:color w:val="000000"/>
                <w:kern w:val="0"/>
              </w:rPr>
            </w:pPr>
            <w:r>
              <w:rPr>
                <w:rFonts w:hint="eastAsia" w:ascii="宋体" w:hAnsi="宋体" w:cs="宋体"/>
                <w:b/>
                <w:bCs/>
                <w:color w:val="000000"/>
                <w:kern w:val="0"/>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jc w:val="center"/>
        </w:trPr>
        <w:tc>
          <w:tcPr>
            <w:tcW w:w="883" w:type="pct"/>
            <w:vAlign w:val="center"/>
          </w:tcPr>
          <w:p>
            <w:pPr>
              <w:jc w:val="center"/>
              <w:rPr>
                <w:rFonts w:ascii="宋体" w:hAnsi="宋体" w:cs="宋体"/>
                <w:color w:val="000000"/>
                <w:kern w:val="0"/>
              </w:rPr>
            </w:pPr>
            <w:r>
              <w:rPr>
                <w:rFonts w:hint="eastAsia" w:ascii="宋体" w:hAnsi="宋体" w:cs="宋体"/>
                <w:color w:val="000000"/>
                <w:kern w:val="0"/>
              </w:rPr>
              <w:t>基本要求</w:t>
            </w:r>
          </w:p>
        </w:tc>
        <w:tc>
          <w:tcPr>
            <w:tcW w:w="4117" w:type="pct"/>
          </w:tcPr>
          <w:p>
            <w:pPr>
              <w:rPr>
                <w:rFonts w:ascii="宋体" w:hAnsi="宋体" w:cs="宋体"/>
                <w:color w:val="000000"/>
                <w:kern w:val="0"/>
              </w:rPr>
            </w:pPr>
            <w:r>
              <w:rPr>
                <w:rFonts w:hint="eastAsia" w:ascii="宋体" w:hAnsi="宋体" w:cs="宋体"/>
                <w:color w:val="000000"/>
                <w:kern w:val="0"/>
              </w:rPr>
              <w:t>交换容量≥</w:t>
            </w:r>
            <w:r>
              <w:rPr>
                <w:rFonts w:ascii="宋体" w:hAnsi="宋体" w:cs="宋体"/>
                <w:color w:val="000000"/>
                <w:kern w:val="0"/>
              </w:rPr>
              <w:t>2.5Tbps，包转发率≥</w:t>
            </w:r>
            <w:r>
              <w:rPr>
                <w:rFonts w:hint="eastAsia" w:ascii="宋体" w:hAnsi="宋体" w:cs="宋体"/>
                <w:color w:val="000000"/>
                <w:kern w:val="0"/>
              </w:rPr>
              <w:t>1620</w:t>
            </w:r>
            <w:r>
              <w:rPr>
                <w:rFonts w:ascii="宋体" w:hAnsi="宋体" w:cs="宋体"/>
                <w:color w:val="000000"/>
                <w:kern w:val="0"/>
              </w:rPr>
              <w:t>Mpps</w:t>
            </w:r>
            <w:r>
              <w:rPr>
                <w:rFonts w:hint="eastAsia" w:ascii="宋体" w:hAnsi="宋体" w:cs="宋体"/>
                <w:color w:val="000000"/>
                <w:kern w:val="0"/>
              </w:rPr>
              <w:t>（如有多值以标称值最小值为准）。</w:t>
            </w:r>
          </w:p>
          <w:p>
            <w:pPr>
              <w:rPr>
                <w:rFonts w:ascii="宋体" w:hAnsi="宋体" w:cs="宋体"/>
                <w:color w:val="000000"/>
                <w:kern w:val="0"/>
              </w:rPr>
            </w:pPr>
            <w:r>
              <w:rPr>
                <w:rFonts w:hint="eastAsia" w:ascii="宋体" w:hAnsi="宋体" w:cs="宋体"/>
                <w:color w:val="000000"/>
                <w:kern w:val="0"/>
              </w:rPr>
              <w:t>万兆</w:t>
            </w:r>
            <w:r>
              <w:rPr>
                <w:rFonts w:ascii="宋体" w:hAnsi="宋体" w:cs="宋体"/>
                <w:color w:val="000000"/>
                <w:kern w:val="0"/>
              </w:rPr>
              <w:t>光口</w:t>
            </w:r>
            <w:r>
              <w:rPr>
                <w:rFonts w:hint="eastAsia" w:ascii="宋体" w:hAnsi="宋体" w:cs="宋体"/>
                <w:color w:val="000000"/>
                <w:kern w:val="0"/>
              </w:rPr>
              <w:t>≥</w:t>
            </w:r>
            <w:r>
              <w:rPr>
                <w:rFonts w:ascii="宋体" w:hAnsi="宋体" w:cs="宋体"/>
                <w:color w:val="000000"/>
                <w:kern w:val="0"/>
              </w:rPr>
              <w:t>48</w:t>
            </w:r>
            <w:r>
              <w:rPr>
                <w:rFonts w:hint="eastAsia" w:ascii="宋体" w:hAnsi="宋体" w:cs="宋体"/>
                <w:color w:val="000000"/>
                <w:kern w:val="0"/>
              </w:rPr>
              <w:t>，</w:t>
            </w:r>
            <w:r>
              <w:rPr>
                <w:rFonts w:ascii="宋体" w:hAnsi="宋体" w:cs="宋体"/>
                <w:color w:val="000000"/>
                <w:kern w:val="0"/>
              </w:rPr>
              <w:t>40G</w:t>
            </w:r>
            <w:r>
              <w:rPr>
                <w:rFonts w:hint="eastAsia" w:ascii="宋体" w:hAnsi="宋体" w:cs="宋体"/>
                <w:color w:val="000000"/>
                <w:kern w:val="0"/>
              </w:rPr>
              <w:t>光口≥</w:t>
            </w:r>
            <w:r>
              <w:rPr>
                <w:rFonts w:ascii="宋体" w:hAnsi="宋体" w:cs="宋体"/>
                <w:color w:val="000000"/>
                <w:kern w:val="0"/>
              </w:rPr>
              <w:t>6</w:t>
            </w:r>
            <w:r>
              <w:rPr>
                <w:rFonts w:hint="eastAsia" w:ascii="宋体" w:hAnsi="宋体" w:cs="宋体"/>
                <w:color w:val="000000"/>
                <w:kern w:val="0"/>
              </w:rPr>
              <w:t>，交流电源≥</w:t>
            </w:r>
            <w:r>
              <w:rPr>
                <w:rFonts w:ascii="宋体" w:hAnsi="宋体" w:cs="宋体"/>
                <w:color w:val="000000"/>
                <w:kern w:val="0"/>
              </w:rPr>
              <w:t>2</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支持</w:t>
            </w:r>
            <w:r>
              <w:rPr>
                <w:rFonts w:ascii="宋体" w:hAnsi="宋体" w:cs="宋体"/>
                <w:color w:val="000000"/>
                <w:kern w:val="0"/>
              </w:rPr>
              <w:t>M-LAG或vPC或DRNI等类似技术（跨框链路聚合，要求配对设备有独立的控制平面，不能用堆叠等多虚一技术实现）</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支持</w:t>
            </w:r>
            <w:r>
              <w:rPr>
                <w:rFonts w:ascii="宋体" w:hAnsi="宋体" w:cs="宋体"/>
                <w:color w:val="000000"/>
                <w:kern w:val="0"/>
              </w:rPr>
              <w:t>RIP、OSPF、ISIS、BGP等IPv4动态路由协议，支持RIPng、OSPFv3、ISISv6、BGP4+等IPv6动态路由协议</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支持硬件</w:t>
            </w:r>
            <w:r>
              <w:rPr>
                <w:rFonts w:ascii="宋体" w:hAnsi="宋体" w:cs="宋体"/>
                <w:color w:val="000000"/>
                <w:kern w:val="0"/>
              </w:rPr>
              <w:t>BFD 3.3ms检测周期</w:t>
            </w:r>
            <w:r>
              <w:rPr>
                <w:rFonts w:hint="eastAsia" w:ascii="宋体" w:hAnsi="宋体" w:cs="宋体"/>
                <w:color w:val="000000"/>
                <w:kern w:val="0"/>
              </w:rPr>
              <w:t>。</w:t>
            </w:r>
          </w:p>
          <w:p>
            <w:pPr>
              <w:rPr>
                <w:rFonts w:hint="eastAsia" w:ascii="宋体" w:hAnsi="宋体" w:cs="宋体"/>
                <w:color w:val="000000"/>
                <w:kern w:val="0"/>
              </w:rPr>
            </w:pPr>
            <w:r>
              <w:rPr>
                <w:rFonts w:hint="eastAsia" w:ascii="宋体" w:hAnsi="宋体" w:cs="宋体"/>
                <w:color w:val="000000"/>
                <w:kern w:val="0"/>
              </w:rPr>
              <w:t>支持</w:t>
            </w:r>
            <w:r>
              <w:rPr>
                <w:rFonts w:ascii="宋体" w:hAnsi="宋体" w:cs="宋体"/>
                <w:color w:val="000000"/>
                <w:kern w:val="0"/>
              </w:rPr>
              <w:t>Vxlan，支持VXLAN mapping；支持QinQ in VXLAN</w:t>
            </w:r>
            <w:r>
              <w:rPr>
                <w:rFonts w:hint="eastAsia" w:ascii="宋体" w:hAnsi="宋体" w:cs="宋体"/>
                <w:color w:val="000000"/>
                <w:kern w:val="0"/>
              </w:rPr>
              <w:t>。</w:t>
            </w:r>
          </w:p>
        </w:tc>
      </w:tr>
    </w:tbl>
    <w:p>
      <w:pPr>
        <w:pStyle w:val="31"/>
        <w:spacing w:line="420" w:lineRule="exact"/>
        <w:ind w:firstLine="0" w:firstLineChars="0"/>
        <w:rPr>
          <w:rFonts w:ascii="宋体" w:hAnsi="宋体"/>
          <w:b/>
          <w:kern w:val="0"/>
          <w:sz w:val="21"/>
          <w:szCs w:val="21"/>
        </w:rPr>
      </w:pPr>
      <w:r>
        <w:rPr>
          <w:rFonts w:hint="eastAsia" w:ascii="宋体" w:hAnsi="宋体"/>
          <w:b/>
          <w:kern w:val="0"/>
          <w:sz w:val="21"/>
          <w:szCs w:val="21"/>
        </w:rPr>
        <w:t>四、实施及售后服务要求：</w:t>
      </w:r>
    </w:p>
    <w:p>
      <w:pPr>
        <w:spacing w:line="420" w:lineRule="exact"/>
        <w:rPr>
          <w:rFonts w:ascii="宋体" w:hAnsi="宋体" w:cs="宋体"/>
          <w:b/>
          <w:bCs/>
          <w:color w:val="000000"/>
          <w:kern w:val="0"/>
          <w:szCs w:val="21"/>
        </w:rPr>
      </w:pPr>
      <w:r>
        <w:rPr>
          <w:rFonts w:hint="eastAsia" w:ascii="宋体" w:hAnsi="宋体" w:cs="宋体"/>
          <w:b/>
          <w:bCs/>
          <w:color w:val="000000"/>
          <w:kern w:val="0"/>
          <w:szCs w:val="21"/>
        </w:rPr>
        <w:t>（1）总体要求</w:t>
      </w:r>
    </w:p>
    <w:p>
      <w:pPr>
        <w:pStyle w:val="8"/>
        <w:spacing w:line="420" w:lineRule="exact"/>
        <w:ind w:firstLine="495" w:firstLineChars="236"/>
      </w:pPr>
      <w:r>
        <w:rPr>
          <w:rFonts w:hint="eastAsia"/>
        </w:rPr>
        <w:t>本项目要求根据现有医院网络架构提供整体规划，具体要求如下：</w:t>
      </w:r>
    </w:p>
    <w:p>
      <w:pPr>
        <w:pStyle w:val="8"/>
        <w:spacing w:line="420" w:lineRule="exact"/>
        <w:ind w:firstLine="495" w:firstLineChars="236"/>
      </w:pPr>
      <w:r>
        <w:rPr>
          <w:rFonts w:hint="eastAsia"/>
        </w:rPr>
        <w:t>1、提供鼓山路院区网络整体规划；</w:t>
      </w:r>
    </w:p>
    <w:p>
      <w:pPr>
        <w:pStyle w:val="8"/>
        <w:spacing w:line="420" w:lineRule="exact"/>
        <w:ind w:firstLine="495" w:firstLineChars="236"/>
      </w:pPr>
      <w:r>
        <w:t>2</w:t>
      </w:r>
      <w:r>
        <w:rPr>
          <w:rFonts w:hint="eastAsia"/>
        </w:rPr>
        <w:t>、完成现有鼓山路院区核心交换机替换，停机时间小于</w:t>
      </w:r>
      <w:r>
        <w:t>10</w:t>
      </w:r>
      <w:r>
        <w:rPr>
          <w:rFonts w:hint="eastAsia"/>
        </w:rPr>
        <w:t>分钟，需要列出详细的割接方案；</w:t>
      </w:r>
    </w:p>
    <w:p>
      <w:pPr>
        <w:pStyle w:val="8"/>
        <w:spacing w:line="420" w:lineRule="exact"/>
        <w:ind w:firstLine="495" w:firstLineChars="236"/>
      </w:pPr>
      <w:r>
        <w:t>3</w:t>
      </w:r>
      <w:r>
        <w:rPr>
          <w:rFonts w:hint="eastAsia"/>
        </w:rPr>
        <w:t>、完成汇聚交换机替换，停机时间小于</w:t>
      </w:r>
      <w:r>
        <w:t>10</w:t>
      </w:r>
      <w:r>
        <w:rPr>
          <w:rFonts w:hint="eastAsia"/>
        </w:rPr>
        <w:t>分钟，需要列出详细的割接方案；</w:t>
      </w:r>
    </w:p>
    <w:p>
      <w:pPr>
        <w:pStyle w:val="8"/>
        <w:spacing w:line="420" w:lineRule="exact"/>
        <w:ind w:firstLine="495" w:firstLineChars="236"/>
      </w:pPr>
      <w:r>
        <w:t>4</w:t>
      </w:r>
      <w:r>
        <w:rPr>
          <w:rFonts w:hint="eastAsia"/>
        </w:rPr>
        <w:t>、提供网络监控软件一套，监控授权≥2</w:t>
      </w:r>
      <w:r>
        <w:t>00</w:t>
      </w:r>
      <w:r>
        <w:rPr>
          <w:rFonts w:hint="eastAsia"/>
        </w:rPr>
        <w:t>个，满足鼓山路院区网络监控要求；</w:t>
      </w:r>
    </w:p>
    <w:p>
      <w:pPr>
        <w:pStyle w:val="8"/>
        <w:spacing w:line="420" w:lineRule="exact"/>
        <w:ind w:firstLine="495" w:firstLineChars="236"/>
      </w:pPr>
      <w:r>
        <w:rPr>
          <w:rFonts w:hint="eastAsia"/>
        </w:rPr>
        <w:t>5、提供投标产品原厂商三年质保承诺函。</w:t>
      </w:r>
    </w:p>
    <w:p>
      <w:pPr>
        <w:pStyle w:val="8"/>
        <w:spacing w:line="420" w:lineRule="exact"/>
        <w:ind w:firstLine="495" w:firstLineChars="236"/>
        <w:rPr>
          <w:rFonts w:hint="eastAsia"/>
        </w:rPr>
      </w:pPr>
      <w:r>
        <w:rPr>
          <w:rFonts w:hint="eastAsia"/>
        </w:rPr>
        <w:t>6、提供软硬件必须提供全新、原装、原厂出品，出厂时间为</w:t>
      </w:r>
      <w:r>
        <w:t>2022</w:t>
      </w:r>
      <w:r>
        <w:rPr>
          <w:rFonts w:hint="eastAsia"/>
        </w:rPr>
        <w:t>年</w:t>
      </w:r>
      <w:r>
        <w:t>10</w:t>
      </w:r>
      <w:r>
        <w:rPr>
          <w:rFonts w:hint="eastAsia"/>
        </w:rPr>
        <w:t>月1日以后，且最终授权用户为：南京市江宁医院。</w:t>
      </w:r>
    </w:p>
    <w:p>
      <w:pPr>
        <w:spacing w:line="420" w:lineRule="exact"/>
        <w:rPr>
          <w:rFonts w:ascii="宋体" w:hAnsi="宋体" w:cs="宋体"/>
          <w:b/>
          <w:bCs/>
          <w:color w:val="000000"/>
          <w:kern w:val="0"/>
          <w:szCs w:val="21"/>
        </w:rPr>
      </w:pPr>
      <w:r>
        <w:rPr>
          <w:rFonts w:hint="eastAsia" w:ascii="宋体" w:hAnsi="宋体" w:cs="宋体"/>
          <w:b/>
          <w:bCs/>
          <w:color w:val="000000"/>
          <w:kern w:val="0"/>
          <w:szCs w:val="21"/>
        </w:rPr>
        <w:t>（</w:t>
      </w:r>
      <w:r>
        <w:rPr>
          <w:rFonts w:ascii="宋体" w:hAnsi="宋体" w:cs="宋体"/>
          <w:b/>
          <w:bCs/>
          <w:color w:val="000000"/>
          <w:kern w:val="0"/>
          <w:szCs w:val="21"/>
        </w:rPr>
        <w:t>2</w:t>
      </w:r>
      <w:r>
        <w:rPr>
          <w:rFonts w:hint="eastAsia" w:ascii="宋体" w:hAnsi="宋体" w:cs="宋体"/>
          <w:b/>
          <w:bCs/>
          <w:color w:val="000000"/>
          <w:kern w:val="0"/>
          <w:szCs w:val="21"/>
        </w:rPr>
        <w:t>）实施要求</w:t>
      </w:r>
    </w:p>
    <w:p>
      <w:pPr>
        <w:pStyle w:val="8"/>
        <w:spacing w:line="420" w:lineRule="exact"/>
        <w:ind w:firstLine="495" w:firstLineChars="236"/>
      </w:pPr>
      <w:r>
        <w:rPr>
          <w:rFonts w:hint="eastAsia"/>
        </w:rPr>
        <w:t>1.实施时间</w:t>
      </w:r>
    </w:p>
    <w:p>
      <w:pPr>
        <w:pStyle w:val="8"/>
        <w:spacing w:line="420" w:lineRule="exact"/>
        <w:ind w:firstLine="495" w:firstLineChars="236"/>
      </w:pPr>
      <w:r>
        <w:rPr>
          <w:rFonts w:hint="eastAsia"/>
        </w:rPr>
        <w:t>成交人应在采购合同生效，采购人通知交货后</w:t>
      </w:r>
      <w:r>
        <w:t>20</w:t>
      </w:r>
      <w:r>
        <w:rPr>
          <w:rFonts w:hint="eastAsia"/>
        </w:rPr>
        <w:t>天内交货并完成安装调试与技术培训，交付采购人验收。</w:t>
      </w:r>
    </w:p>
    <w:p>
      <w:pPr>
        <w:pStyle w:val="8"/>
        <w:spacing w:line="420" w:lineRule="exact"/>
        <w:ind w:firstLine="495" w:firstLineChars="236"/>
      </w:pPr>
      <w:r>
        <w:rPr>
          <w:rFonts w:hint="eastAsia"/>
        </w:rPr>
        <w:t>2.实施地点</w:t>
      </w:r>
    </w:p>
    <w:p>
      <w:pPr>
        <w:pStyle w:val="8"/>
        <w:spacing w:line="420" w:lineRule="exact"/>
        <w:ind w:firstLine="495" w:firstLineChars="236"/>
      </w:pPr>
      <w:r>
        <w:rPr>
          <w:rFonts w:hint="eastAsia"/>
        </w:rPr>
        <w:t>实施地点：南京市江宁医院鼓山路院区。</w:t>
      </w:r>
    </w:p>
    <w:p>
      <w:pPr>
        <w:pStyle w:val="8"/>
        <w:spacing w:line="420" w:lineRule="exact"/>
        <w:ind w:firstLine="495" w:firstLineChars="236"/>
      </w:pPr>
      <w:r>
        <w:rPr>
          <w:rFonts w:hint="eastAsia"/>
        </w:rPr>
        <w:t>3.实施要求</w:t>
      </w:r>
    </w:p>
    <w:p>
      <w:pPr>
        <w:pStyle w:val="8"/>
        <w:spacing w:line="420" w:lineRule="exact"/>
        <w:ind w:firstLine="495" w:firstLineChars="236"/>
      </w:pPr>
      <w:r>
        <w:rPr>
          <w:rFonts w:hint="eastAsia"/>
        </w:rPr>
        <w:t>硬件安装；实施现场配置调试；组织培训；上线运行。</w:t>
      </w:r>
    </w:p>
    <w:p>
      <w:pPr>
        <w:spacing w:line="420" w:lineRule="exact"/>
        <w:rPr>
          <w:rFonts w:ascii="宋体" w:hAnsi="宋体" w:cs="宋体"/>
          <w:b/>
          <w:bCs/>
          <w:color w:val="000000"/>
          <w:kern w:val="0"/>
          <w:szCs w:val="21"/>
        </w:rPr>
      </w:pPr>
      <w:r>
        <w:rPr>
          <w:rFonts w:hint="eastAsia" w:ascii="宋体" w:hAnsi="宋体" w:cs="宋体"/>
          <w:b/>
          <w:bCs/>
          <w:color w:val="000000"/>
          <w:kern w:val="0"/>
          <w:szCs w:val="21"/>
        </w:rPr>
        <w:t>（</w:t>
      </w:r>
      <w:r>
        <w:rPr>
          <w:rFonts w:ascii="宋体" w:hAnsi="宋体" w:cs="宋体"/>
          <w:b/>
          <w:bCs/>
          <w:color w:val="000000"/>
          <w:kern w:val="0"/>
          <w:szCs w:val="21"/>
        </w:rPr>
        <w:t>3</w:t>
      </w:r>
      <w:r>
        <w:rPr>
          <w:rFonts w:hint="eastAsia" w:ascii="宋体" w:hAnsi="宋体" w:cs="宋体"/>
          <w:b/>
          <w:bCs/>
          <w:color w:val="000000"/>
          <w:kern w:val="0"/>
          <w:szCs w:val="21"/>
        </w:rPr>
        <w:t>）售后服务要求</w:t>
      </w:r>
    </w:p>
    <w:p>
      <w:pPr>
        <w:pStyle w:val="8"/>
        <w:spacing w:line="420" w:lineRule="exact"/>
        <w:ind w:firstLine="495" w:firstLineChars="236"/>
        <w:rPr>
          <w:rFonts w:hint="eastAsia"/>
        </w:rPr>
      </w:pPr>
      <w:r>
        <w:rPr>
          <w:rFonts w:hint="eastAsia"/>
        </w:rPr>
        <w:t>1）项目免费维护期</w:t>
      </w:r>
      <w:r>
        <w:t>3</w:t>
      </w:r>
      <w:r>
        <w:rPr>
          <w:rFonts w:hint="eastAsia"/>
        </w:rPr>
        <w:t>年。免费维护期内，本合同项目所有技术和服务发生任何非人为故障，由供应商负责系统恢复。故障报修的响应时间为即时，到达现场的时间为</w:t>
      </w:r>
      <w:r>
        <w:t>1</w:t>
      </w:r>
      <w:r>
        <w:rPr>
          <w:rFonts w:hint="eastAsia"/>
        </w:rPr>
        <w:t>小时，小型故障恢复时间为</w:t>
      </w:r>
      <w:r>
        <w:t>2</w:t>
      </w:r>
      <w:r>
        <w:rPr>
          <w:rFonts w:hint="eastAsia"/>
        </w:rPr>
        <w:t>个小时，严重故障恢复时间为4小时内，并及时有效的提供解决方案。</w:t>
      </w:r>
      <w:r>
        <w:rPr>
          <w:rFonts w:hint="eastAsia"/>
        </w:rPr>
        <w:cr/>
      </w:r>
      <w:r>
        <w:rPr>
          <w:rFonts w:hint="eastAsia"/>
        </w:rPr>
        <w:t xml:space="preserve">    2）免费维护期内，对采购人提出的合理服务要求，供应商必须即时进行电话、邮件及远程网络支持，并在</w:t>
      </w:r>
      <w:r>
        <w:t>1</w:t>
      </w:r>
      <w:r>
        <w:rPr>
          <w:rFonts w:hint="eastAsia"/>
        </w:rPr>
        <w:t>小时内到场服务。如不到场，采购人有权自行处理，相关费用由供应商负责。</w:t>
      </w:r>
      <w:r>
        <w:rPr>
          <w:rFonts w:hint="eastAsia"/>
        </w:rPr>
        <w:cr/>
      </w:r>
      <w:r>
        <w:rPr>
          <w:rFonts w:hint="eastAsia"/>
        </w:rPr>
        <w:t xml:space="preserve">    3）供应商需提供定期回访服务，对采购人提出的合理优化建议应提供免费升级服务。</w:t>
      </w:r>
      <w:r>
        <w:rPr>
          <w:rFonts w:hint="eastAsia"/>
        </w:rPr>
        <w:cr/>
      </w:r>
      <w:r>
        <w:rPr>
          <w:rFonts w:hint="eastAsia"/>
        </w:rPr>
        <w:t xml:space="preserve">    4）所有的服务方式均为供应商上门保修，即由供应商派员到系统使用现场进行故障恢复，由此产生的一切费用均由供应商承担。</w:t>
      </w:r>
    </w:p>
    <w:sectPr>
      <w:pgSz w:w="11906" w:h="16838"/>
      <w:pgMar w:top="1134" w:right="1701" w:bottom="85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B8750"/>
    <w:multiLevelType w:val="singleLevel"/>
    <w:tmpl w:val="B1CB8750"/>
    <w:lvl w:ilvl="0" w:tentative="0">
      <w:start w:val="3"/>
      <w:numFmt w:val="chineseCounting"/>
      <w:suff w:val="nothing"/>
      <w:lvlText w:val="%1、"/>
      <w:lvlJc w:val="left"/>
      <w:rPr>
        <w:rFonts w:hint="eastAsia"/>
      </w:rPr>
    </w:lvl>
  </w:abstractNum>
  <w:abstractNum w:abstractNumId="1">
    <w:nsid w:val="374F01DF"/>
    <w:multiLevelType w:val="multilevel"/>
    <w:tmpl w:val="374F01DF"/>
    <w:lvl w:ilvl="0" w:tentative="0">
      <w:start w:val="1"/>
      <w:numFmt w:val="japaneseCounting"/>
      <w:lvlText w:val="第%1章"/>
      <w:lvlJc w:val="left"/>
      <w:pPr>
        <w:ind w:left="1215" w:hanging="12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7E052A"/>
    <w:multiLevelType w:val="multilevel"/>
    <w:tmpl w:val="5C7E052A"/>
    <w:lvl w:ilvl="0" w:tentative="0">
      <w:start w:val="1"/>
      <w:numFmt w:val="chineseCountingThousand"/>
      <w:lvlText w:val="%1、"/>
      <w:lvlJc w:val="left"/>
      <w:pPr>
        <w:ind w:left="425" w:hanging="425"/>
      </w:pPr>
      <w:rPr>
        <w:rFonts w:hint="eastAsia"/>
        <w:color w:val="auto"/>
      </w:rPr>
    </w:lvl>
    <w:lvl w:ilvl="1" w:tentative="0">
      <w:start w:val="1"/>
      <w:numFmt w:val="decimal"/>
      <w:isLgl/>
      <w:lvlText w:val="%1.%2"/>
      <w:lvlJc w:val="left"/>
      <w:pPr>
        <w:ind w:left="397" w:hanging="397"/>
      </w:pPr>
      <w:rPr>
        <w:rFonts w:hint="eastAsia"/>
      </w:rPr>
    </w:lvl>
    <w:lvl w:ilvl="2" w:tentative="0">
      <w:start w:val="1"/>
      <w:numFmt w:val="chineseCountingThousand"/>
      <w:pStyle w:val="10"/>
      <w:isLgl/>
      <w:lvlText w:val="%1.%2.%3"/>
      <w:lvlJc w:val="left"/>
      <w:pPr>
        <w:tabs>
          <w:tab w:val="left" w:pos="794"/>
        </w:tabs>
        <w:ind w:left="397" w:hanging="397"/>
      </w:pPr>
      <w:rPr>
        <w:rFonts w:hint="eastAsia"/>
      </w:rPr>
    </w:lvl>
    <w:lvl w:ilvl="3" w:tentative="0">
      <w:start w:val="1"/>
      <w:numFmt w:val="decimal"/>
      <w:isLgl/>
      <w:lvlText w:val="%1.%2.%3.%4"/>
      <w:lvlJc w:val="left"/>
      <w:pPr>
        <w:ind w:left="397" w:hanging="397"/>
      </w:pPr>
      <w:rPr>
        <w:rFonts w:hint="eastAsia"/>
      </w:rPr>
    </w:lvl>
    <w:lvl w:ilvl="4" w:tentative="0">
      <w:start w:val="1"/>
      <w:numFmt w:val="decimal"/>
      <w:isLgl/>
      <w:lvlText w:val="%1.%2.%3.%4.%5"/>
      <w:lvlJc w:val="left"/>
      <w:pPr>
        <w:ind w:left="397" w:hanging="39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1D01BD"/>
    <w:rsid w:val="00026349"/>
    <w:rsid w:val="00030F32"/>
    <w:rsid w:val="00050FC1"/>
    <w:rsid w:val="000D3667"/>
    <w:rsid w:val="000D55BA"/>
    <w:rsid w:val="000E7A5D"/>
    <w:rsid w:val="00100D7D"/>
    <w:rsid w:val="0010674D"/>
    <w:rsid w:val="001211DD"/>
    <w:rsid w:val="001455FB"/>
    <w:rsid w:val="001533FC"/>
    <w:rsid w:val="00174439"/>
    <w:rsid w:val="001A6744"/>
    <w:rsid w:val="001B42C6"/>
    <w:rsid w:val="001C52C2"/>
    <w:rsid w:val="001D01BD"/>
    <w:rsid w:val="001D717A"/>
    <w:rsid w:val="00210D97"/>
    <w:rsid w:val="00220B06"/>
    <w:rsid w:val="00271742"/>
    <w:rsid w:val="00295CA5"/>
    <w:rsid w:val="002C318E"/>
    <w:rsid w:val="002D1642"/>
    <w:rsid w:val="002F677F"/>
    <w:rsid w:val="00327AEB"/>
    <w:rsid w:val="00354444"/>
    <w:rsid w:val="00396053"/>
    <w:rsid w:val="003C53EF"/>
    <w:rsid w:val="004060CC"/>
    <w:rsid w:val="00407202"/>
    <w:rsid w:val="00426BF6"/>
    <w:rsid w:val="00443342"/>
    <w:rsid w:val="004436D2"/>
    <w:rsid w:val="004612F6"/>
    <w:rsid w:val="004627CE"/>
    <w:rsid w:val="00482213"/>
    <w:rsid w:val="00492D7A"/>
    <w:rsid w:val="004A7281"/>
    <w:rsid w:val="00517A88"/>
    <w:rsid w:val="005400B1"/>
    <w:rsid w:val="005770D8"/>
    <w:rsid w:val="00586981"/>
    <w:rsid w:val="005B5A14"/>
    <w:rsid w:val="005C6AA8"/>
    <w:rsid w:val="005E7321"/>
    <w:rsid w:val="00601A96"/>
    <w:rsid w:val="00606A42"/>
    <w:rsid w:val="006154DA"/>
    <w:rsid w:val="0064623B"/>
    <w:rsid w:val="006521CA"/>
    <w:rsid w:val="00662311"/>
    <w:rsid w:val="00676915"/>
    <w:rsid w:val="00681590"/>
    <w:rsid w:val="006A611E"/>
    <w:rsid w:val="006C3891"/>
    <w:rsid w:val="006C3FEA"/>
    <w:rsid w:val="006D03D6"/>
    <w:rsid w:val="00701F0A"/>
    <w:rsid w:val="00780935"/>
    <w:rsid w:val="007F1D42"/>
    <w:rsid w:val="007F4943"/>
    <w:rsid w:val="008310F4"/>
    <w:rsid w:val="00842B4C"/>
    <w:rsid w:val="008730BD"/>
    <w:rsid w:val="0087659C"/>
    <w:rsid w:val="008A688A"/>
    <w:rsid w:val="008B50E1"/>
    <w:rsid w:val="008D50AB"/>
    <w:rsid w:val="0090613E"/>
    <w:rsid w:val="009171F0"/>
    <w:rsid w:val="00930C42"/>
    <w:rsid w:val="0096076C"/>
    <w:rsid w:val="009671F9"/>
    <w:rsid w:val="0097457E"/>
    <w:rsid w:val="009A6EAF"/>
    <w:rsid w:val="009C1484"/>
    <w:rsid w:val="00A73FB0"/>
    <w:rsid w:val="00AA7369"/>
    <w:rsid w:val="00AB018F"/>
    <w:rsid w:val="00AD0184"/>
    <w:rsid w:val="00B00AA0"/>
    <w:rsid w:val="00B22FB1"/>
    <w:rsid w:val="00B73265"/>
    <w:rsid w:val="00B77468"/>
    <w:rsid w:val="00C13E3C"/>
    <w:rsid w:val="00C2167D"/>
    <w:rsid w:val="00C42CED"/>
    <w:rsid w:val="00C600AD"/>
    <w:rsid w:val="00C96D1C"/>
    <w:rsid w:val="00CA7EB5"/>
    <w:rsid w:val="00CD3DE3"/>
    <w:rsid w:val="00CF1A81"/>
    <w:rsid w:val="00D34FEC"/>
    <w:rsid w:val="00D41C12"/>
    <w:rsid w:val="00D43F46"/>
    <w:rsid w:val="00D44375"/>
    <w:rsid w:val="00D56296"/>
    <w:rsid w:val="00D665A8"/>
    <w:rsid w:val="00D72E5D"/>
    <w:rsid w:val="00D918E8"/>
    <w:rsid w:val="00DC3B07"/>
    <w:rsid w:val="00DC6DFC"/>
    <w:rsid w:val="00DD63E3"/>
    <w:rsid w:val="00DF0D4A"/>
    <w:rsid w:val="00E322E9"/>
    <w:rsid w:val="00E50D36"/>
    <w:rsid w:val="00E54901"/>
    <w:rsid w:val="00E72B54"/>
    <w:rsid w:val="00E73D3B"/>
    <w:rsid w:val="00EA2283"/>
    <w:rsid w:val="00EC3904"/>
    <w:rsid w:val="00EE22B5"/>
    <w:rsid w:val="00F02071"/>
    <w:rsid w:val="00F06928"/>
    <w:rsid w:val="00F37A54"/>
    <w:rsid w:val="00F77940"/>
    <w:rsid w:val="00FA1EF5"/>
    <w:rsid w:val="00FA333F"/>
    <w:rsid w:val="00FB7872"/>
    <w:rsid w:val="02FF41F8"/>
    <w:rsid w:val="05700B87"/>
    <w:rsid w:val="0A437FE5"/>
    <w:rsid w:val="0A705385"/>
    <w:rsid w:val="10562F73"/>
    <w:rsid w:val="10FA4306"/>
    <w:rsid w:val="12821ED9"/>
    <w:rsid w:val="12CD72A7"/>
    <w:rsid w:val="151A1508"/>
    <w:rsid w:val="15525935"/>
    <w:rsid w:val="17005FBC"/>
    <w:rsid w:val="176075D7"/>
    <w:rsid w:val="19EF52D8"/>
    <w:rsid w:val="1BCF0653"/>
    <w:rsid w:val="1DF51CE6"/>
    <w:rsid w:val="1DF8560E"/>
    <w:rsid w:val="201E193D"/>
    <w:rsid w:val="220015D2"/>
    <w:rsid w:val="224B705D"/>
    <w:rsid w:val="23EA110F"/>
    <w:rsid w:val="242A4DEA"/>
    <w:rsid w:val="2604539D"/>
    <w:rsid w:val="262C75C0"/>
    <w:rsid w:val="29023D0F"/>
    <w:rsid w:val="2C325445"/>
    <w:rsid w:val="2C3B438B"/>
    <w:rsid w:val="2D076076"/>
    <w:rsid w:val="31E33B91"/>
    <w:rsid w:val="34E11B3A"/>
    <w:rsid w:val="34F5482E"/>
    <w:rsid w:val="3653297A"/>
    <w:rsid w:val="39886A9F"/>
    <w:rsid w:val="3C480E0A"/>
    <w:rsid w:val="3DFC6224"/>
    <w:rsid w:val="3E337180"/>
    <w:rsid w:val="42A76F80"/>
    <w:rsid w:val="43E0128D"/>
    <w:rsid w:val="443F1892"/>
    <w:rsid w:val="4473751E"/>
    <w:rsid w:val="44895441"/>
    <w:rsid w:val="486A6E89"/>
    <w:rsid w:val="491446BA"/>
    <w:rsid w:val="4A083D2C"/>
    <w:rsid w:val="4A5A760D"/>
    <w:rsid w:val="4D4128AF"/>
    <w:rsid w:val="4EA14C89"/>
    <w:rsid w:val="51295B34"/>
    <w:rsid w:val="544E6B34"/>
    <w:rsid w:val="549A7AAC"/>
    <w:rsid w:val="553C6D3C"/>
    <w:rsid w:val="5A1E6A6C"/>
    <w:rsid w:val="5B846B77"/>
    <w:rsid w:val="5C441EE1"/>
    <w:rsid w:val="5DDA79B3"/>
    <w:rsid w:val="5FAE5769"/>
    <w:rsid w:val="628C5F22"/>
    <w:rsid w:val="65042353"/>
    <w:rsid w:val="66190B98"/>
    <w:rsid w:val="6764271C"/>
    <w:rsid w:val="681F6A8B"/>
    <w:rsid w:val="6DC15D38"/>
    <w:rsid w:val="70484351"/>
    <w:rsid w:val="731A162D"/>
    <w:rsid w:val="73397A01"/>
    <w:rsid w:val="73A85F67"/>
    <w:rsid w:val="755B70CF"/>
    <w:rsid w:val="77CC1A02"/>
    <w:rsid w:val="77F373ED"/>
    <w:rsid w:val="7828099D"/>
    <w:rsid w:val="787B0173"/>
    <w:rsid w:val="788A066E"/>
    <w:rsid w:val="797F1EE5"/>
    <w:rsid w:val="79955265"/>
    <w:rsid w:val="7B78035F"/>
    <w:rsid w:val="7DCA78FB"/>
    <w:rsid w:val="7F73169E"/>
    <w:rsid w:val="7F7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2"/>
    <w:basedOn w:val="1"/>
    <w:next w:val="8"/>
    <w:qFormat/>
    <w:uiPriority w:val="0"/>
    <w:pPr>
      <w:keepNext/>
      <w:keepLines/>
      <w:tabs>
        <w:tab w:val="left" w:pos="432"/>
      </w:tabs>
      <w:spacing w:line="360" w:lineRule="auto"/>
      <w:ind w:left="432" w:hanging="432"/>
      <w:jc w:val="left"/>
      <w:outlineLvl w:val="1"/>
    </w:pPr>
    <w:rPr>
      <w:rFonts w:ascii="仿宋_GB2312" w:hAnsi="仿宋" w:eastAsia="仿宋_GB2312"/>
      <w:b/>
      <w:bCs/>
      <w:sz w:val="32"/>
      <w:szCs w:val="32"/>
      <w:lang w:val="zh-CN"/>
    </w:rPr>
  </w:style>
  <w:style w:type="paragraph" w:styleId="10">
    <w:name w:val="heading 3"/>
    <w:basedOn w:val="1"/>
    <w:next w:val="1"/>
    <w:unhideWhenUsed/>
    <w:qFormat/>
    <w:uiPriority w:val="0"/>
    <w:pPr>
      <w:keepNext/>
      <w:keepLines/>
      <w:numPr>
        <w:ilvl w:val="2"/>
        <w:numId w:val="1"/>
      </w:numPr>
      <w:spacing w:before="20" w:after="20"/>
      <w:outlineLvl w:val="2"/>
    </w:pPr>
    <w:rPr>
      <w:rFonts w:ascii="Arial" w:hAnsi="Arial" w:eastAsia="黑体"/>
      <w:b/>
      <w:bCs/>
      <w:sz w:val="30"/>
      <w:szCs w:val="32"/>
    </w:rPr>
  </w:style>
  <w:style w:type="character" w:default="1" w:styleId="24">
    <w:name w:val="Default Paragraph Font"/>
    <w:semiHidden/>
    <w:unhideWhenUsed/>
    <w:qFormat/>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customStyle="1" w:styleId="2">
    <w:name w:val="表格文字"/>
    <w:basedOn w:val="3"/>
    <w:next w:val="4"/>
    <w:qFormat/>
    <w:uiPriority w:val="0"/>
    <w:pPr>
      <w:spacing w:before="25" w:after="25"/>
      <w:jc w:val="left"/>
    </w:pPr>
    <w:rPr>
      <w:rFonts w:ascii="Times New Roman" w:hAnsi="Times New Roman" w:eastAsia="宋体" w:cs="Times New Roman"/>
      <w:bCs/>
      <w:spacing w:val="10"/>
      <w:kern w:val="0"/>
    </w:rPr>
  </w:style>
  <w:style w:type="paragraph" w:styleId="3">
    <w:name w:val="Plain Text"/>
    <w:basedOn w:val="1"/>
    <w:next w:val="1"/>
    <w:qFormat/>
    <w:uiPriority w:val="0"/>
    <w:pPr>
      <w:ind w:firstLine="200" w:firstLineChars="200"/>
    </w:pPr>
    <w:rPr>
      <w:rFonts w:ascii="宋体" w:hAnsi="Courier New" w:eastAsia="华文中宋" w:cs="Courier New"/>
      <w:szCs w:val="21"/>
    </w:rPr>
  </w:style>
  <w:style w:type="paragraph" w:styleId="4">
    <w:name w:val="Body Text"/>
    <w:basedOn w:val="1"/>
    <w:next w:val="5"/>
    <w:qFormat/>
    <w:uiPriority w:val="0"/>
    <w:rPr>
      <w:rFonts w:ascii="楷体_GB2312" w:hAnsi="Arial" w:eastAsia="楷体_GB2312"/>
      <w:sz w:val="28"/>
      <w:szCs w:val="28"/>
    </w:rPr>
  </w:style>
  <w:style w:type="paragraph" w:styleId="5">
    <w:name w:val="Body Text First Indent"/>
    <w:basedOn w:val="4"/>
    <w:next w:val="6"/>
    <w:qFormat/>
    <w:uiPriority w:val="0"/>
    <w:pPr>
      <w:tabs>
        <w:tab w:val="left" w:pos="208"/>
      </w:tabs>
      <w:spacing w:after="120"/>
      <w:ind w:firstLine="420" w:firstLineChars="100"/>
    </w:pPr>
    <w:rPr>
      <w:rFonts w:ascii="Times New Roman" w:eastAsia="宋体"/>
      <w:sz w:val="21"/>
    </w:rPr>
  </w:style>
  <w:style w:type="paragraph" w:styleId="6">
    <w:name w:val="toc 6"/>
    <w:basedOn w:val="1"/>
    <w:next w:val="1"/>
    <w:unhideWhenUsed/>
    <w:qFormat/>
    <w:uiPriority w:val="39"/>
    <w:pPr>
      <w:ind w:left="1050" w:leftChars="100" w:firstLine="200" w:firstLineChars="200"/>
      <w:jc w:val="left"/>
    </w:pPr>
    <w:rPr>
      <w:sz w:val="20"/>
      <w:szCs w:val="20"/>
    </w:rPr>
  </w:style>
  <w:style w:type="paragraph" w:styleId="8">
    <w:name w:val="Normal Indent"/>
    <w:basedOn w:val="1"/>
    <w:next w:val="9"/>
    <w:qFormat/>
    <w:uiPriority w:val="99"/>
    <w:pPr>
      <w:ind w:firstLine="200" w:firstLineChars="200"/>
    </w:pPr>
    <w:rPr>
      <w:szCs w:val="20"/>
    </w:rPr>
  </w:style>
  <w:style w:type="paragraph" w:styleId="9">
    <w:name w:val="Body Text Indent"/>
    <w:basedOn w:val="1"/>
    <w:next w:val="8"/>
    <w:qFormat/>
    <w:uiPriority w:val="0"/>
    <w:pPr>
      <w:spacing w:line="480" w:lineRule="exact"/>
      <w:ind w:firstLine="480" w:firstLineChars="200"/>
    </w:pPr>
    <w:rPr>
      <w:rFonts w:ascii="宋体" w:hAnsi="宋体"/>
      <w:sz w:val="24"/>
    </w:rPr>
  </w:style>
  <w:style w:type="paragraph" w:styleId="11">
    <w:name w:val="annotation text"/>
    <w:basedOn w:val="1"/>
    <w:semiHidden/>
    <w:unhideWhenUsed/>
    <w:qFormat/>
    <w:uiPriority w:val="99"/>
    <w:pPr>
      <w:jc w:val="left"/>
    </w:pPr>
  </w:style>
  <w:style w:type="paragraph" w:styleId="12">
    <w:name w:val="List 2"/>
    <w:basedOn w:val="1"/>
    <w:qFormat/>
    <w:uiPriority w:val="0"/>
    <w:pPr>
      <w:spacing w:line="360" w:lineRule="auto"/>
      <w:ind w:left="100" w:leftChars="200" w:hanging="200" w:hangingChars="200"/>
    </w:pPr>
    <w:rPr>
      <w:sz w:val="24"/>
    </w:rPr>
  </w:style>
  <w:style w:type="paragraph" w:styleId="13">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4">
    <w:name w:val="index 4"/>
    <w:basedOn w:val="1"/>
    <w:next w:val="1"/>
    <w:qFormat/>
    <w:uiPriority w:val="0"/>
    <w:pPr>
      <w:ind w:left="600" w:leftChars="600"/>
    </w:pPr>
    <w:rPr>
      <w:rFonts w:eastAsia="仿宋_GB2312"/>
      <w:sz w:val="24"/>
    </w:rPr>
  </w:style>
  <w:style w:type="paragraph" w:styleId="15">
    <w:name w:val="Body Text Indent 2"/>
    <w:basedOn w:val="1"/>
    <w:next w:val="16"/>
    <w:qFormat/>
    <w:uiPriority w:val="0"/>
    <w:pPr>
      <w:spacing w:line="360" w:lineRule="auto"/>
      <w:ind w:firstLine="601"/>
      <w:textAlignment w:val="baseline"/>
    </w:pPr>
    <w:rPr>
      <w:rFonts w:ascii="宋体"/>
      <w:kern w:val="0"/>
      <w:sz w:val="28"/>
      <w:szCs w:val="20"/>
    </w:rPr>
  </w:style>
  <w:style w:type="paragraph" w:styleId="16">
    <w:name w:val="toc 1"/>
    <w:basedOn w:val="1"/>
    <w:next w:val="1"/>
    <w:qFormat/>
    <w:uiPriority w:val="0"/>
  </w:style>
  <w:style w:type="paragraph" w:styleId="17">
    <w:name w:val="Balloon Text"/>
    <w:basedOn w:val="1"/>
    <w:link w:val="38"/>
    <w:semiHidden/>
    <w:unhideWhenUsed/>
    <w:qFormat/>
    <w:uiPriority w:val="99"/>
    <w:rPr>
      <w:sz w:val="18"/>
      <w:szCs w:val="18"/>
    </w:rPr>
  </w:style>
  <w:style w:type="paragraph" w:styleId="18">
    <w:name w:val="footer"/>
    <w:basedOn w:val="1"/>
    <w:link w:val="28"/>
    <w:unhideWhenUsed/>
    <w:qFormat/>
    <w:uiPriority w:val="99"/>
    <w:pPr>
      <w:tabs>
        <w:tab w:val="center" w:pos="4153"/>
        <w:tab w:val="right" w:pos="8306"/>
      </w:tabs>
      <w:snapToGrid w:val="0"/>
      <w:jc w:val="left"/>
    </w:pPr>
    <w:rPr>
      <w:sz w:val="18"/>
      <w:szCs w:val="18"/>
    </w:rPr>
  </w:style>
  <w:style w:type="paragraph" w:styleId="19">
    <w:name w:val="header"/>
    <w:basedOn w:val="1"/>
    <w:next w:val="15"/>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1">
    <w:name w:val="Title"/>
    <w:basedOn w:val="1"/>
    <w:next w:val="1"/>
    <w:qFormat/>
    <w:uiPriority w:val="0"/>
    <w:pPr>
      <w:spacing w:line="240" w:lineRule="atLeast"/>
      <w:jc w:val="center"/>
    </w:pPr>
    <w:rPr>
      <w:b/>
      <w:kern w:val="0"/>
      <w:sz w:val="30"/>
    </w:rPr>
  </w:style>
  <w:style w:type="table" w:styleId="23">
    <w:name w:val="Table Grid"/>
    <w:basedOn w:val="2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basedOn w:val="24"/>
    <w:semiHidden/>
    <w:unhideWhenUsed/>
    <w:qFormat/>
    <w:uiPriority w:val="99"/>
    <w:rPr>
      <w:color w:val="0000FF"/>
      <w:u w:val="single"/>
    </w:rPr>
  </w:style>
  <w:style w:type="character" w:styleId="26">
    <w:name w:val="annotation reference"/>
    <w:basedOn w:val="24"/>
    <w:semiHidden/>
    <w:unhideWhenUsed/>
    <w:qFormat/>
    <w:uiPriority w:val="99"/>
    <w:rPr>
      <w:sz w:val="21"/>
      <w:szCs w:val="21"/>
    </w:rPr>
  </w:style>
  <w:style w:type="character" w:customStyle="1" w:styleId="27">
    <w:name w:val="页眉 字符"/>
    <w:basedOn w:val="24"/>
    <w:link w:val="19"/>
    <w:qFormat/>
    <w:uiPriority w:val="99"/>
    <w:rPr>
      <w:sz w:val="18"/>
      <w:szCs w:val="18"/>
    </w:rPr>
  </w:style>
  <w:style w:type="character" w:customStyle="1" w:styleId="28">
    <w:name w:val="页脚 字符"/>
    <w:basedOn w:val="24"/>
    <w:link w:val="18"/>
    <w:qFormat/>
    <w:uiPriority w:val="99"/>
    <w:rPr>
      <w:sz w:val="18"/>
      <w:szCs w:val="18"/>
    </w:rPr>
  </w:style>
  <w:style w:type="character" w:customStyle="1" w:styleId="29">
    <w:name w:val="列表段落 字符"/>
    <w:link w:val="30"/>
    <w:qFormat/>
    <w:uiPriority w:val="34"/>
    <w:rPr>
      <w:sz w:val="24"/>
      <w:szCs w:val="24"/>
    </w:rPr>
  </w:style>
  <w:style w:type="paragraph" w:customStyle="1" w:styleId="30">
    <w:name w:val="列出段落1"/>
    <w:basedOn w:val="1"/>
    <w:link w:val="29"/>
    <w:qFormat/>
    <w:uiPriority w:val="34"/>
    <w:pPr>
      <w:spacing w:line="360" w:lineRule="auto"/>
      <w:ind w:firstLine="420" w:firstLineChars="200"/>
    </w:pPr>
    <w:rPr>
      <w:rFonts w:asciiTheme="minorHAnsi" w:hAnsiTheme="minorHAnsi" w:eastAsiaTheme="minorEastAsia" w:cstheme="minorBidi"/>
      <w:sz w:val="24"/>
      <w:szCs w:val="24"/>
    </w:rPr>
  </w:style>
  <w:style w:type="paragraph" w:customStyle="1" w:styleId="31">
    <w:name w:val="样式 首行缩进:  2.25 字符"/>
    <w:basedOn w:val="1"/>
    <w:qFormat/>
    <w:uiPriority w:val="0"/>
    <w:pPr>
      <w:spacing w:line="360" w:lineRule="auto"/>
      <w:ind w:firstLine="225" w:firstLineChars="225"/>
    </w:pPr>
    <w:rPr>
      <w:rFonts w:cs="宋体"/>
      <w:sz w:val="24"/>
      <w:szCs w:val="20"/>
    </w:rPr>
  </w:style>
  <w:style w:type="paragraph" w:customStyle="1" w:styleId="32">
    <w:name w:val="列出段落2"/>
    <w:basedOn w:val="1"/>
    <w:qFormat/>
    <w:uiPriority w:val="34"/>
    <w:pPr>
      <w:ind w:firstLine="420" w:firstLineChars="200"/>
    </w:pPr>
    <w:rPr>
      <w:rFonts w:ascii="Times New Roman" w:hAnsi="Times New Roman"/>
      <w:szCs w:val="24"/>
    </w:rPr>
  </w:style>
  <w:style w:type="paragraph" w:customStyle="1" w:styleId="33">
    <w:name w:val="_Style 4"/>
    <w:basedOn w:val="1"/>
    <w:qFormat/>
    <w:uiPriority w:val="99"/>
    <w:pPr>
      <w:ind w:firstLine="420" w:firstLineChars="200"/>
    </w:pPr>
  </w:style>
  <w:style w:type="paragraph" w:styleId="34">
    <w:name w:val="List Paragraph"/>
    <w:basedOn w:val="1"/>
    <w:qFormat/>
    <w:uiPriority w:val="34"/>
    <w:pPr>
      <w:ind w:firstLine="420" w:firstLineChars="200"/>
    </w:pPr>
  </w:style>
  <w:style w:type="paragraph" w:customStyle="1" w:styleId="35">
    <w:name w:val="方案正文"/>
    <w:basedOn w:val="1"/>
    <w:qFormat/>
    <w:uiPriority w:val="0"/>
    <w:pPr>
      <w:spacing w:before="120" w:line="360" w:lineRule="auto"/>
      <w:ind w:firstLine="425" w:firstLineChars="177"/>
    </w:pPr>
    <w:rPr>
      <w:rFonts w:ascii="华文细黑" w:hAnsi="华文细黑" w:eastAsia="华文细黑"/>
      <w:sz w:val="24"/>
      <w:szCs w:val="24"/>
    </w:rPr>
  </w:style>
  <w:style w:type="paragraph" w:styleId="36">
    <w:name w:val="No Spacing"/>
    <w:qFormat/>
    <w:uiPriority w:val="1"/>
    <w:pPr>
      <w:widowControl w:val="0"/>
      <w:snapToGrid w:val="0"/>
    </w:pPr>
    <w:rPr>
      <w:rFonts w:ascii="Calibri" w:hAnsi="Calibri" w:eastAsia="微软雅黑" w:cs="Times New Roman"/>
      <w:kern w:val="2"/>
      <w:sz w:val="24"/>
      <w:szCs w:val="21"/>
      <w:lang w:val="en-US" w:eastAsia="zh-CN" w:bidi="ar-SA"/>
    </w:rPr>
  </w:style>
  <w:style w:type="paragraph" w:customStyle="1" w:styleId="37">
    <w:name w:val="列表段落1"/>
    <w:basedOn w:val="1"/>
    <w:qFormat/>
    <w:uiPriority w:val="34"/>
    <w:pPr>
      <w:ind w:firstLine="420" w:firstLineChars="200"/>
    </w:pPr>
    <w:rPr>
      <w:szCs w:val="24"/>
    </w:rPr>
  </w:style>
  <w:style w:type="character" w:customStyle="1" w:styleId="38">
    <w:name w:val="批注框文本 字符"/>
    <w:basedOn w:val="24"/>
    <w:link w:val="17"/>
    <w:semiHidden/>
    <w:qFormat/>
    <w:uiPriority w:val="99"/>
    <w:rPr>
      <w:rFonts w:ascii="Calibri" w:hAnsi="Calibri" w:eastAsia="宋体" w:cs="Times New Roman"/>
      <w:kern w:val="2"/>
      <w:sz w:val="18"/>
      <w:szCs w:val="18"/>
    </w:rPr>
  </w:style>
  <w:style w:type="paragraph" w:customStyle="1" w:styleId="39">
    <w:name w:val="修订1"/>
    <w:hidden/>
    <w:semiHidden/>
    <w:qFormat/>
    <w:uiPriority w:val="99"/>
    <w:rPr>
      <w:rFonts w:ascii="Calibri" w:hAnsi="Calibri" w:eastAsia="宋体" w:cs="Times New Roman"/>
      <w:kern w:val="2"/>
      <w:sz w:val="21"/>
      <w:szCs w:val="22"/>
      <w:lang w:val="en-US" w:eastAsia="zh-CN" w:bidi="ar-SA"/>
    </w:rPr>
  </w:style>
  <w:style w:type="paragraph" w:customStyle="1" w:styleId="40">
    <w:name w:val="_正文"/>
    <w:basedOn w:val="1"/>
    <w:qFormat/>
    <w:uiPriority w:val="0"/>
    <w:pPr>
      <w:ind w:firstLine="200" w:firstLineChars="200"/>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2064</Words>
  <Characters>2295</Characters>
  <Lines>17</Lines>
  <Paragraphs>4</Paragraphs>
  <TotalTime>420</TotalTime>
  <ScaleCrop>false</ScaleCrop>
  <LinksUpToDate>false</LinksUpToDate>
  <CharactersWithSpaces>2336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2022-07-29T07:05:00Z</dcterms:created>
  <dc:creator>office51</dc:creator>
  <cp:lastModifiedBy>小暖</cp:lastModifiedBy>
  <cp:lastPrinted>2022-06-25T02:25:00Z</cp:lastPrinted>
  <dcterms:modified xsi:type="dcterms:W3CDTF">2022-11-05T00:53:42Z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2A09E5463DC3438DBBA9A8CBDE6C7AEF</vt:lpwstr>
  </property>
</Properties>
</file>