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333333"/>
          <w:kern w:val="0"/>
          <w:szCs w:val="21"/>
        </w:rPr>
      </w:pPr>
      <w:r>
        <w:rPr>
          <w:rFonts w:hint="eastAsia" w:ascii="宋体" w:hAnsi="宋体" w:cs="宋体"/>
          <w:color w:val="333333"/>
          <w:kern w:val="0"/>
          <w:szCs w:val="21"/>
        </w:rPr>
        <w:t>附件：</w:t>
      </w:r>
    </w:p>
    <w:p>
      <w:pPr>
        <w:pStyle w:val="2"/>
      </w:pPr>
    </w:p>
    <w:p>
      <w:pPr>
        <w:pStyle w:val="6"/>
        <w:numPr>
          <w:ilvl w:val="0"/>
          <w:numId w:val="1"/>
        </w:numPr>
        <w:ind w:leftChars="0"/>
        <w:jc w:val="center"/>
        <w:rPr>
          <w:rFonts w:ascii="宋体" w:hAnsi="宋体" w:eastAsia="宋体" w:cs="宋体"/>
          <w:b/>
          <w:kern w:val="0"/>
          <w:szCs w:val="24"/>
        </w:rPr>
      </w:pPr>
      <w:r>
        <w:rPr>
          <w:rFonts w:hint="eastAsia" w:ascii="宋体" w:hAnsi="宋体" w:eastAsia="宋体" w:cs="宋体"/>
          <w:b/>
          <w:kern w:val="0"/>
          <w:szCs w:val="24"/>
        </w:rPr>
        <w:t>论证邀请</w:t>
      </w:r>
    </w:p>
    <w:p/>
    <w:p>
      <w:pPr>
        <w:pStyle w:val="2"/>
      </w:pPr>
    </w:p>
    <w:p>
      <w:pPr>
        <w:spacing w:line="360" w:lineRule="auto"/>
        <w:ind w:firstLine="420" w:firstLineChars="200"/>
        <w:rPr>
          <w:rFonts w:ascii="宋体" w:hAnsi="宋体" w:cs="宋体"/>
          <w:kern w:val="0"/>
          <w:szCs w:val="21"/>
        </w:rPr>
      </w:pPr>
      <w:r>
        <w:rPr>
          <w:rFonts w:hint="eastAsia" w:ascii="宋体" w:hAnsi="宋体" w:cs="宋体"/>
          <w:kern w:val="0"/>
          <w:szCs w:val="21"/>
        </w:rPr>
        <w:t>南京市江宁医院信息处根据医院信息化资产委员会会议及院长办公会要求，就信息项目进行论证，兹邀请符合资格条件的生产企业、经销企业以及潜在供应商参加。</w:t>
      </w:r>
    </w:p>
    <w:p>
      <w:pPr>
        <w:spacing w:line="360" w:lineRule="auto"/>
        <w:rPr>
          <w:rFonts w:ascii="宋体" w:hAnsi="宋体" w:cs="宋体"/>
          <w:b/>
          <w:color w:val="000000"/>
          <w:szCs w:val="21"/>
        </w:rPr>
      </w:pPr>
      <w:r>
        <w:rPr>
          <w:rFonts w:hint="eastAsia" w:ascii="宋体" w:hAnsi="宋体" w:cs="宋体"/>
          <w:b/>
          <w:color w:val="000000"/>
          <w:szCs w:val="21"/>
        </w:rPr>
        <w:t>一、项目简要说明：</w:t>
      </w:r>
    </w:p>
    <w:tbl>
      <w:tblPr>
        <w:tblStyle w:val="12"/>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672"/>
        <w:gridCol w:w="830"/>
        <w:gridCol w:w="1570"/>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4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8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需求部门</w:t>
            </w:r>
          </w:p>
        </w:tc>
        <w:tc>
          <w:tcPr>
            <w:tcW w:w="17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88"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bookmarkStart w:id="0" w:name="_Toc107418482"/>
            <w:r>
              <w:rPr>
                <w:rFonts w:hint="eastAsia"/>
              </w:rPr>
              <w:t>领导驾驶舱（智慧大屏）</w:t>
            </w:r>
            <w:bookmarkEnd w:id="0"/>
            <w:r>
              <w:rPr>
                <w:rFonts w:hint="eastAsia" w:ascii="宋体" w:hAnsi="宋体" w:cs="宋体"/>
                <w:color w:val="000000"/>
                <w:kern w:val="0"/>
                <w:sz w:val="20"/>
                <w:szCs w:val="20"/>
              </w:rPr>
              <w:t>项目</w:t>
            </w:r>
          </w:p>
        </w:tc>
        <w:tc>
          <w:tcPr>
            <w:tcW w:w="4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8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计财处</w:t>
            </w:r>
          </w:p>
        </w:tc>
        <w:tc>
          <w:tcPr>
            <w:tcW w:w="1727"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r>
              <w:rPr>
                <w:rFonts w:hint="eastAsia" w:ascii="Segoe UI Symbol" w:hAnsi="Segoe UI Symbol" w:cs="Segoe UI Symbol"/>
                <w:szCs w:val="28"/>
              </w:rPr>
              <w:t>通过丰富多样、直观清晰的</w:t>
            </w:r>
            <w:r>
              <w:rPr>
                <w:rFonts w:hint="eastAsia"/>
                <w:szCs w:val="28"/>
              </w:rPr>
              <w:t>智慧大屏形式进行数据分析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bookmarkStart w:id="1" w:name="_Toc107418484"/>
            <w:r>
              <w:rPr>
                <w:rFonts w:hint="eastAsia" w:ascii="宋体" w:hAnsi="宋体" w:cs="宋体"/>
                <w:color w:val="000000"/>
                <w:kern w:val="0"/>
              </w:rPr>
              <w:t>国考指标监测</w:t>
            </w:r>
            <w:bookmarkEnd w:id="1"/>
            <w:r>
              <w:rPr>
                <w:rFonts w:hint="eastAsia" w:ascii="宋体" w:hAnsi="宋体" w:cs="宋体"/>
                <w:color w:val="000000"/>
                <w:kern w:val="0"/>
                <w:sz w:val="20"/>
                <w:szCs w:val="20"/>
              </w:rPr>
              <w:t>项目</w:t>
            </w:r>
          </w:p>
        </w:tc>
        <w:tc>
          <w:tcPr>
            <w:tcW w:w="4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8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计财处</w:t>
            </w:r>
          </w:p>
        </w:tc>
        <w:tc>
          <w:tcPr>
            <w:tcW w:w="1727"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r>
              <w:rPr>
                <w:rFonts w:hint="eastAsia"/>
                <w:szCs w:val="28"/>
              </w:rPr>
              <w:t>以《三级公立医院绩效考核》指标为基础，提供其中7项亟待改进的国考指标的展示分析</w:t>
            </w:r>
          </w:p>
        </w:tc>
      </w:tr>
    </w:tbl>
    <w:p>
      <w:pPr>
        <w:spacing w:line="360" w:lineRule="auto"/>
        <w:rPr>
          <w:rFonts w:ascii="宋体" w:hAnsi="宋体" w:cs="宋体"/>
          <w:b/>
          <w:color w:val="000000"/>
          <w:szCs w:val="21"/>
        </w:rPr>
      </w:pPr>
      <w:r>
        <w:rPr>
          <w:rFonts w:hint="eastAsia" w:ascii="宋体" w:hAnsi="宋体" w:cs="宋体"/>
          <w:b/>
          <w:color w:val="000000"/>
          <w:szCs w:val="21"/>
        </w:rPr>
        <w:t>二、供应商报名资格要求</w:t>
      </w:r>
    </w:p>
    <w:p>
      <w:pPr>
        <w:spacing w:line="360" w:lineRule="auto"/>
        <w:ind w:firstLine="420" w:firstLineChars="200"/>
        <w:rPr>
          <w:rFonts w:ascii="宋体" w:hAnsi="宋体" w:cs="宋体"/>
          <w:kern w:val="0"/>
          <w:szCs w:val="21"/>
        </w:rPr>
      </w:pPr>
      <w:r>
        <w:rPr>
          <w:rFonts w:hint="eastAsia" w:ascii="宋体" w:hAnsi="宋体" w:cs="宋体"/>
          <w:kern w:val="0"/>
          <w:szCs w:val="21"/>
        </w:rPr>
        <w:t>报名单位必须具备《中华人民共和国政府采购法》第22条所规定的条件外，还须具备如下条件：</w:t>
      </w:r>
    </w:p>
    <w:p>
      <w:pPr>
        <w:spacing w:line="360" w:lineRule="auto"/>
        <w:ind w:firstLine="420" w:firstLineChars="200"/>
        <w:rPr>
          <w:rFonts w:ascii="宋体" w:hAnsi="宋体" w:cs="宋体"/>
          <w:kern w:val="0"/>
          <w:szCs w:val="21"/>
        </w:rPr>
      </w:pPr>
      <w:r>
        <w:rPr>
          <w:rFonts w:hint="eastAsia" w:ascii="宋体" w:hAnsi="宋体" w:cs="宋体"/>
          <w:kern w:val="0"/>
          <w:szCs w:val="21"/>
        </w:rPr>
        <w:t>1）在国内工商管理部门注册，具有独立的法人资格。</w:t>
      </w:r>
    </w:p>
    <w:p>
      <w:pPr>
        <w:spacing w:line="360" w:lineRule="auto"/>
        <w:ind w:firstLine="420" w:firstLineChars="200"/>
        <w:rPr>
          <w:rFonts w:ascii="宋体" w:hAnsi="宋体" w:cs="宋体"/>
          <w:kern w:val="0"/>
          <w:szCs w:val="21"/>
        </w:rPr>
      </w:pPr>
      <w:r>
        <w:rPr>
          <w:rFonts w:hint="eastAsia" w:ascii="宋体" w:hAnsi="宋体" w:cs="宋体"/>
          <w:kern w:val="0"/>
          <w:szCs w:val="21"/>
        </w:rPr>
        <w:t>2）法定代表人授权委托书（法定代表人签署不需提供此书）；法定代表人及授权代表身份证正反面复印件；</w:t>
      </w:r>
    </w:p>
    <w:p>
      <w:pPr>
        <w:spacing w:line="360" w:lineRule="auto"/>
        <w:ind w:firstLine="420" w:firstLineChars="200"/>
        <w:rPr>
          <w:rFonts w:ascii="宋体" w:hAnsi="宋体" w:cs="宋体"/>
          <w:kern w:val="0"/>
          <w:szCs w:val="21"/>
        </w:rPr>
      </w:pPr>
      <w:r>
        <w:rPr>
          <w:rFonts w:hint="eastAsia" w:ascii="宋体" w:hAnsi="宋体" w:cs="宋体"/>
          <w:kern w:val="0"/>
          <w:szCs w:val="21"/>
        </w:rPr>
        <w:t>3）具有良好的商业信誉和健全的财务会计制度；</w:t>
      </w:r>
    </w:p>
    <w:p>
      <w:pPr>
        <w:spacing w:line="360" w:lineRule="auto"/>
        <w:ind w:firstLine="420" w:firstLineChars="200"/>
        <w:rPr>
          <w:rFonts w:ascii="宋体" w:hAnsi="宋体" w:cs="宋体"/>
          <w:kern w:val="0"/>
          <w:szCs w:val="21"/>
        </w:rPr>
      </w:pPr>
      <w:r>
        <w:rPr>
          <w:rFonts w:hint="eastAsia" w:ascii="宋体" w:hAnsi="宋体" w:cs="宋体"/>
          <w:kern w:val="0"/>
          <w:szCs w:val="21"/>
        </w:rPr>
        <w:t>4）有依法缴纳税收和社会保障资金的良好记录；</w:t>
      </w:r>
    </w:p>
    <w:p>
      <w:pPr>
        <w:pStyle w:val="6"/>
        <w:spacing w:line="360" w:lineRule="auto"/>
        <w:ind w:left="0" w:leftChars="0" w:firstLine="420" w:firstLineChars="200"/>
        <w:rPr>
          <w:rFonts w:ascii="宋体" w:hAnsi="宋体" w:eastAsia="宋体" w:cs="宋体"/>
          <w:kern w:val="0"/>
          <w:sz w:val="21"/>
          <w:szCs w:val="21"/>
        </w:rPr>
      </w:pPr>
      <w:r>
        <w:rPr>
          <w:rFonts w:hint="eastAsia" w:ascii="宋体" w:hAnsi="宋体" w:eastAsia="宋体" w:cs="宋体"/>
          <w:kern w:val="0"/>
          <w:sz w:val="21"/>
          <w:szCs w:val="21"/>
        </w:rPr>
        <w:t>5）报名单位或原厂商具备2019年至今完成的三级及以上医院运营管理系统建设案例，至少提供</w:t>
      </w:r>
      <w:r>
        <w:rPr>
          <w:rFonts w:hint="eastAsia" w:ascii="宋体" w:hAnsi="宋体" w:eastAsia="宋体" w:cs="宋体"/>
          <w:kern w:val="0"/>
          <w:sz w:val="21"/>
          <w:szCs w:val="21"/>
          <w:u w:val="single"/>
        </w:rPr>
        <w:t>3家</w:t>
      </w:r>
      <w:r>
        <w:rPr>
          <w:rFonts w:hint="eastAsia" w:ascii="宋体" w:hAnsi="宋体" w:eastAsia="宋体" w:cs="宋体"/>
          <w:kern w:val="0"/>
          <w:sz w:val="21"/>
          <w:szCs w:val="21"/>
        </w:rPr>
        <w:t>以上三甲医院签约合同案例证明文件。</w:t>
      </w:r>
    </w:p>
    <w:p>
      <w:pPr>
        <w:rPr>
          <w:rFonts w:ascii="宋体" w:hAnsi="宋体" w:cs="宋体"/>
          <w:szCs w:val="21"/>
        </w:rPr>
      </w:pPr>
    </w:p>
    <w:p>
      <w:pPr>
        <w:spacing w:line="360" w:lineRule="auto"/>
        <w:rPr>
          <w:rFonts w:ascii="宋体" w:hAnsi="宋体" w:cs="宋体"/>
          <w:b/>
          <w:color w:val="000000"/>
          <w:szCs w:val="21"/>
        </w:rPr>
      </w:pPr>
      <w:r>
        <w:rPr>
          <w:rFonts w:hint="eastAsia" w:ascii="宋体" w:hAnsi="宋体" w:cs="宋体"/>
          <w:b/>
          <w:color w:val="000000"/>
          <w:szCs w:val="21"/>
        </w:rPr>
        <w:t>三、论证时间及地点联系方式：</w:t>
      </w:r>
    </w:p>
    <w:p>
      <w:pPr>
        <w:spacing w:line="360" w:lineRule="auto"/>
        <w:ind w:firstLine="420" w:firstLineChars="200"/>
        <w:rPr>
          <w:rFonts w:ascii="宋体" w:hAnsi="宋体" w:cs="宋体"/>
          <w:szCs w:val="21"/>
        </w:rPr>
      </w:pPr>
      <w:r>
        <w:rPr>
          <w:rFonts w:hint="eastAsia" w:ascii="宋体" w:hAnsi="宋体" w:cs="宋体"/>
          <w:szCs w:val="21"/>
        </w:rPr>
        <w:t xml:space="preserve">1.报名时间： </w:t>
      </w:r>
    </w:p>
    <w:p>
      <w:pPr>
        <w:spacing w:line="360" w:lineRule="auto"/>
        <w:ind w:firstLine="422" w:firstLineChars="200"/>
        <w:rPr>
          <w:rFonts w:ascii="宋体" w:hAnsi="宋体" w:cs="宋体"/>
          <w:szCs w:val="21"/>
        </w:rPr>
      </w:pPr>
      <w:r>
        <w:rPr>
          <w:rFonts w:hint="eastAsia" w:ascii="宋体" w:hAnsi="宋体" w:cs="宋体"/>
          <w:b/>
          <w:bCs/>
          <w:szCs w:val="21"/>
        </w:rPr>
        <w:t>报名材料提交方式</w:t>
      </w:r>
      <w:r>
        <w:rPr>
          <w:rFonts w:hint="eastAsia" w:ascii="宋体" w:hAnsi="宋体" w:cs="宋体"/>
          <w:szCs w:val="21"/>
        </w:rPr>
        <w:t xml:space="preserve">：在报名时间截止之前通过电子邮件形式发送。 </w:t>
      </w:r>
    </w:p>
    <w:p>
      <w:pPr>
        <w:spacing w:line="360" w:lineRule="auto"/>
        <w:ind w:firstLine="422" w:firstLineChars="200"/>
        <w:rPr>
          <w:rFonts w:ascii="宋体" w:hAnsi="宋体" w:cs="宋体"/>
          <w:szCs w:val="21"/>
        </w:rPr>
      </w:pPr>
      <w:r>
        <w:rPr>
          <w:rFonts w:hint="eastAsia" w:ascii="宋体" w:hAnsi="宋体" w:cs="宋体"/>
          <w:b/>
          <w:bCs/>
          <w:szCs w:val="21"/>
        </w:rPr>
        <w:t>邮箱地址：</w:t>
      </w:r>
      <w:r>
        <w:rPr>
          <w:rFonts w:hint="eastAsia" w:ascii="宋体" w:hAnsi="宋体" w:cs="宋体"/>
          <w:szCs w:val="21"/>
        </w:rPr>
        <w:t>xzy_9920@163.com</w:t>
      </w:r>
    </w:p>
    <w:p>
      <w:pPr>
        <w:spacing w:line="360" w:lineRule="auto"/>
        <w:ind w:firstLine="420" w:firstLineChars="200"/>
        <w:rPr>
          <w:rFonts w:ascii="宋体" w:hAnsi="宋体" w:cs="宋体"/>
          <w:szCs w:val="21"/>
        </w:rPr>
      </w:pPr>
      <w:r>
        <w:rPr>
          <w:rFonts w:hint="eastAsia" w:ascii="宋体" w:hAnsi="宋体" w:cs="宋体"/>
          <w:szCs w:val="21"/>
        </w:rPr>
        <w:t>2. 论证时间：</w:t>
      </w:r>
      <w:r>
        <w:rPr>
          <w:rFonts w:hint="eastAsia" w:ascii="宋体" w:hAnsi="宋体" w:cs="宋体"/>
          <w:szCs w:val="21"/>
          <w:lang w:val="en-US" w:eastAsia="zh-CN"/>
        </w:rPr>
        <w:t>2022年8月5日下午2点半</w:t>
      </w:r>
      <w:bookmarkStart w:id="2" w:name="_GoBack"/>
      <w:bookmarkEnd w:id="2"/>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3. 论证地点： 江宁医院3号楼7楼规划室。</w:t>
      </w:r>
    </w:p>
    <w:p>
      <w:pPr>
        <w:spacing w:line="360" w:lineRule="auto"/>
        <w:ind w:firstLine="420" w:firstLineChars="200"/>
        <w:rPr>
          <w:rFonts w:ascii="宋体" w:hAnsi="宋体" w:cs="宋体"/>
          <w:szCs w:val="21"/>
        </w:rPr>
      </w:pPr>
      <w:r>
        <w:rPr>
          <w:rFonts w:hint="eastAsia" w:ascii="宋体" w:hAnsi="宋体" w:cs="宋体"/>
          <w:szCs w:val="21"/>
        </w:rPr>
        <w:t>4. 联系电话：13645153881        联系人：熊老师</w:t>
      </w:r>
    </w:p>
    <w:p>
      <w:pPr>
        <w:rPr>
          <w:rFonts w:ascii="宋体" w:hAnsi="宋体" w:cs="宋体"/>
          <w:b/>
          <w:kern w:val="0"/>
          <w:sz w:val="28"/>
          <w:szCs w:val="28"/>
        </w:rPr>
      </w:pPr>
      <w:r>
        <w:rPr>
          <w:rFonts w:hint="eastAsia" w:ascii="宋体" w:hAnsi="宋体" w:cs="宋体"/>
          <w:szCs w:val="21"/>
        </w:rPr>
        <w:br w:type="page"/>
      </w:r>
      <w:r>
        <w:rPr>
          <w:rFonts w:hint="eastAsia" w:ascii="宋体" w:hAnsi="宋体" w:cs="宋体"/>
          <w:b/>
          <w:kern w:val="0"/>
          <w:sz w:val="28"/>
          <w:szCs w:val="28"/>
        </w:rPr>
        <w:t>第二章  技术参数及要求</w:t>
      </w:r>
    </w:p>
    <w:p>
      <w:pPr>
        <w:pStyle w:val="19"/>
        <w:numPr>
          <w:ilvl w:val="255"/>
          <w:numId w:val="0"/>
        </w:numPr>
        <w:ind w:firstLine="422" w:firstLineChars="200"/>
        <w:rPr>
          <w:rFonts w:ascii="宋体" w:hAnsi="宋体" w:eastAsia="宋体" w:cs="宋体"/>
          <w:b/>
          <w:sz w:val="21"/>
          <w:szCs w:val="21"/>
        </w:rPr>
      </w:pPr>
      <w:r>
        <w:rPr>
          <w:rFonts w:hint="eastAsia" w:ascii="宋体" w:hAnsi="宋体" w:eastAsia="宋体" w:cs="宋体"/>
          <w:b/>
          <w:sz w:val="21"/>
          <w:szCs w:val="21"/>
        </w:rPr>
        <w:t>一、项目背景：</w:t>
      </w:r>
    </w:p>
    <w:p>
      <w:pPr>
        <w:pStyle w:val="19"/>
        <w:rPr>
          <w:rFonts w:ascii="宋体" w:hAnsi="宋体" w:eastAsia="宋体" w:cs="宋体"/>
          <w:bCs/>
          <w:sz w:val="21"/>
          <w:szCs w:val="21"/>
        </w:rPr>
      </w:pPr>
      <w:r>
        <w:rPr>
          <w:rFonts w:hint="eastAsia" w:ascii="宋体" w:hAnsi="宋体" w:eastAsia="宋体" w:cs="宋体"/>
          <w:bCs/>
          <w:sz w:val="21"/>
          <w:szCs w:val="21"/>
        </w:rPr>
        <w:t>江宁医院创建于1935年，是一所集医疗、教学、科研、预防、保健、康复为一体的三级甲等综合医院，是南京医科大学附属医院、东南大学与江苏大学教学医院、第二批国家级住院医师规范化培训基地、国家药物临床试验机构，国家级心衰中心、房颤中心、高级卒中中心和中国高血压达标中心，并挂牌南京医科大学康达学院江宁临床医学院、江苏医药职业学院临床学院、江苏卫生健康职业学院江宁临床医学院，医院内设有南京市急救中心江宁分站。</w:t>
      </w:r>
    </w:p>
    <w:p>
      <w:pPr>
        <w:spacing w:line="360" w:lineRule="auto"/>
        <w:ind w:firstLine="420" w:firstLineChars="200"/>
        <w:rPr>
          <w:rFonts w:ascii="宋体" w:hAnsi="宋体" w:cs="宋体"/>
        </w:rPr>
      </w:pPr>
      <w:r>
        <w:rPr>
          <w:rFonts w:hint="eastAsia" w:ascii="宋体" w:hAnsi="宋体" w:cs="宋体"/>
        </w:rPr>
        <w:t>为满足我院三级医院复评、三级公立医院绩效考核等内容，我院急需建立一套智慧运营管理分析平台，从内部进行决策分析，从根本上解决医院运营管理的问题。通过技术手段搭建合理的运营管理系统，通过智慧大屏实时掌握医院运营动态，以及对七项国考指标的分析</w:t>
      </w:r>
      <w:r>
        <w:rPr>
          <w:rFonts w:hint="eastAsia" w:ascii="宋体" w:hAnsi="宋体" w:cs="宋体"/>
          <w:szCs w:val="21"/>
        </w:rPr>
        <w:t>实现了自动统计生成全院、科室、病区、以及个人相关的指标报表</w:t>
      </w:r>
      <w:r>
        <w:rPr>
          <w:rFonts w:hint="eastAsia" w:ascii="宋体" w:hAnsi="宋体" w:cs="宋体"/>
        </w:rPr>
        <w:t>。</w:t>
      </w:r>
      <w:r>
        <w:rPr>
          <w:rFonts w:hint="eastAsia" w:ascii="宋体" w:hAnsi="宋体" w:cs="宋体"/>
          <w:szCs w:val="21"/>
        </w:rPr>
        <w:t>根据智慧医院建设尤其是智慧运营建设的要求，以新的业务架构为导向，升级、拓展现有财务管理信息平台，为提升医院运营管理规范化、精细化、科学化水平台提供信息支撑</w:t>
      </w:r>
      <w:r>
        <w:rPr>
          <w:rFonts w:hint="eastAsia" w:ascii="宋体" w:hAnsi="宋体" w:cs="宋体"/>
        </w:rPr>
        <w:t>。同时也使得医院在管理方面实现了统一化、同质化、合理化、规范化、科学化，提高运营管理方面的各项工作的效率和整体水平。</w:t>
      </w:r>
    </w:p>
    <w:p>
      <w:pPr>
        <w:pStyle w:val="19"/>
        <w:ind w:firstLine="0" w:firstLineChars="0"/>
        <w:rPr>
          <w:rFonts w:ascii="宋体" w:hAnsi="宋体" w:eastAsia="宋体" w:cs="宋体"/>
          <w:b/>
          <w:sz w:val="21"/>
          <w:szCs w:val="21"/>
        </w:rPr>
      </w:pPr>
      <w:r>
        <w:rPr>
          <w:rFonts w:hint="eastAsia" w:ascii="宋体" w:hAnsi="宋体" w:eastAsia="宋体" w:cs="宋体"/>
          <w:b/>
          <w:sz w:val="21"/>
          <w:szCs w:val="21"/>
        </w:rPr>
        <w:t>二、采购需求：</w:t>
      </w:r>
    </w:p>
    <w:tbl>
      <w:tblPr>
        <w:tblStyle w:val="11"/>
        <w:tblpPr w:leftFromText="180" w:rightFromText="180" w:vertAnchor="text" w:horzAnchor="page" w:tblpX="1722" w:tblpY="33"/>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54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0" w:type="dxa"/>
            <w:shd w:val="clear" w:color="000000" w:fill="F2F2F2"/>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4540" w:type="dxa"/>
            <w:shd w:val="clear" w:color="000000" w:fill="F2F2F2"/>
            <w:vAlign w:val="center"/>
          </w:tcPr>
          <w:p>
            <w:pPr>
              <w:spacing w:line="360" w:lineRule="auto"/>
              <w:jc w:val="center"/>
              <w:rPr>
                <w:rFonts w:ascii="宋体" w:hAnsi="宋体" w:cs="宋体"/>
                <w:b/>
                <w:bCs/>
                <w:szCs w:val="21"/>
              </w:rPr>
            </w:pPr>
            <w:r>
              <w:rPr>
                <w:rFonts w:hint="eastAsia" w:ascii="宋体" w:hAnsi="宋体" w:cs="宋体"/>
                <w:b/>
                <w:bCs/>
                <w:szCs w:val="21"/>
              </w:rPr>
              <w:t>项    目</w:t>
            </w:r>
          </w:p>
        </w:tc>
        <w:tc>
          <w:tcPr>
            <w:tcW w:w="1420" w:type="dxa"/>
            <w:shd w:val="clear" w:color="000000" w:fill="F2F2F2"/>
            <w:vAlign w:val="center"/>
          </w:tcPr>
          <w:p>
            <w:pPr>
              <w:spacing w:line="360" w:lineRule="auto"/>
              <w:jc w:val="center"/>
              <w:rPr>
                <w:rFonts w:ascii="宋体" w:hAnsi="宋体" w:cs="宋体"/>
                <w:b/>
                <w:bCs/>
                <w:szCs w:val="21"/>
              </w:rPr>
            </w:pPr>
            <w:r>
              <w:rPr>
                <w:rFonts w:hint="eastAsia" w:ascii="宋体" w:hAnsi="宋体" w:cs="宋体"/>
                <w:b/>
                <w:bCs/>
                <w:szCs w:val="21"/>
              </w:rPr>
              <w:t>数量</w:t>
            </w:r>
          </w:p>
        </w:tc>
        <w:tc>
          <w:tcPr>
            <w:tcW w:w="1420" w:type="dxa"/>
            <w:shd w:val="clear" w:color="000000" w:fill="F2F2F2"/>
            <w:vAlign w:val="center"/>
          </w:tcPr>
          <w:p>
            <w:pPr>
              <w:spacing w:line="360" w:lineRule="auto"/>
              <w:jc w:val="center"/>
              <w:rPr>
                <w:rFonts w:ascii="宋体" w:hAnsi="宋体" w:cs="宋体"/>
                <w:b/>
                <w:bCs/>
                <w:szCs w:val="21"/>
              </w:rPr>
            </w:pPr>
            <w:r>
              <w:rPr>
                <w:rFonts w:hint="eastAsia" w:ascii="宋体" w:hAnsi="宋体" w:cs="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10" w:firstLineChars="100"/>
              <w:jc w:val="center"/>
              <w:rPr>
                <w:rFonts w:ascii="宋体" w:hAnsi="宋体" w:cs="宋体"/>
                <w:szCs w:val="21"/>
              </w:rPr>
            </w:pPr>
            <w:r>
              <w:rPr>
                <w:rFonts w:hint="eastAsia" w:ascii="宋体" w:hAnsi="宋体" w:cs="宋体"/>
                <w:szCs w:val="21"/>
              </w:rPr>
              <w:t>1</w:t>
            </w:r>
          </w:p>
        </w:tc>
        <w:tc>
          <w:tcPr>
            <w:tcW w:w="4540" w:type="dxa"/>
            <w:vAlign w:val="center"/>
          </w:tcPr>
          <w:p>
            <w:pPr>
              <w:widowControl/>
              <w:spacing w:line="360" w:lineRule="auto"/>
              <w:jc w:val="center"/>
              <w:rPr>
                <w:rFonts w:ascii="宋体" w:hAnsi="宋体" w:cs="宋体"/>
                <w:szCs w:val="21"/>
              </w:rPr>
            </w:pPr>
            <w:r>
              <w:rPr>
                <w:rFonts w:hint="eastAsia"/>
              </w:rPr>
              <w:t>领导驾驶舱（智慧大屏）</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10" w:firstLineChars="100"/>
              <w:jc w:val="center"/>
              <w:rPr>
                <w:rFonts w:ascii="宋体" w:hAnsi="宋体" w:cs="宋体"/>
                <w:szCs w:val="21"/>
              </w:rPr>
            </w:pPr>
            <w:r>
              <w:rPr>
                <w:rFonts w:hint="eastAsia" w:ascii="宋体" w:hAnsi="宋体" w:cs="宋体"/>
                <w:szCs w:val="21"/>
              </w:rPr>
              <w:t>2</w:t>
            </w:r>
          </w:p>
        </w:tc>
        <w:tc>
          <w:tcPr>
            <w:tcW w:w="4540" w:type="dxa"/>
            <w:vAlign w:val="center"/>
          </w:tcPr>
          <w:p>
            <w:pPr>
              <w:widowControl/>
              <w:spacing w:line="360" w:lineRule="auto"/>
              <w:jc w:val="center"/>
              <w:rPr>
                <w:rFonts w:ascii="宋体" w:hAnsi="宋体" w:cs="宋体"/>
                <w:szCs w:val="21"/>
              </w:rPr>
            </w:pPr>
            <w:r>
              <w:rPr>
                <w:rFonts w:hint="eastAsia" w:ascii="宋体" w:hAnsi="宋体" w:cs="宋体"/>
                <w:color w:val="000000"/>
                <w:kern w:val="0"/>
              </w:rPr>
              <w:t>国考指标监测</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套</w:t>
            </w:r>
          </w:p>
        </w:tc>
      </w:tr>
    </w:tbl>
    <w:p>
      <w:pPr>
        <w:pStyle w:val="20"/>
        <w:ind w:firstLine="0" w:firstLineChars="0"/>
        <w:rPr>
          <w:rFonts w:ascii="宋体" w:hAnsi="宋体"/>
          <w:b/>
          <w:kern w:val="0"/>
          <w:sz w:val="21"/>
          <w:szCs w:val="21"/>
        </w:rPr>
      </w:pPr>
    </w:p>
    <w:p>
      <w:pPr>
        <w:pStyle w:val="20"/>
        <w:numPr>
          <w:ilvl w:val="0"/>
          <w:numId w:val="2"/>
        </w:numPr>
        <w:ind w:firstLine="0" w:firstLineChars="0"/>
        <w:rPr>
          <w:rFonts w:ascii="宋体" w:hAnsi="宋体"/>
          <w:b/>
          <w:kern w:val="0"/>
          <w:sz w:val="21"/>
          <w:szCs w:val="21"/>
        </w:rPr>
      </w:pPr>
      <w:r>
        <w:rPr>
          <w:rFonts w:hint="eastAsia" w:ascii="宋体" w:hAnsi="宋体"/>
          <w:b/>
          <w:kern w:val="0"/>
          <w:sz w:val="21"/>
          <w:szCs w:val="21"/>
        </w:rPr>
        <w:t>招标参数</w:t>
      </w:r>
    </w:p>
    <w:p>
      <w:pPr>
        <w:spacing w:line="400" w:lineRule="exact"/>
        <w:rPr>
          <w:rFonts w:ascii="宋体" w:hAnsi="宋体" w:cs="宋体"/>
          <w:b/>
          <w:bCs/>
          <w:color w:val="000000"/>
          <w:kern w:val="0"/>
          <w:szCs w:val="21"/>
        </w:rPr>
      </w:pPr>
      <w:r>
        <w:rPr>
          <w:rFonts w:hint="eastAsia" w:ascii="宋体" w:hAnsi="宋体" w:cs="宋体"/>
          <w:b/>
          <w:bCs/>
          <w:color w:val="000000"/>
          <w:kern w:val="0"/>
          <w:szCs w:val="21"/>
        </w:rPr>
        <w:t>（一）总体要求</w:t>
      </w:r>
    </w:p>
    <w:p>
      <w:pPr>
        <w:spacing w:line="400" w:lineRule="exact"/>
        <w:ind w:firstLine="400" w:firstLineChars="200"/>
        <w:jc w:val="left"/>
        <w:rPr>
          <w:rFonts w:ascii="宋体" w:hAnsi="宋体" w:cs="宋体"/>
          <w:bCs/>
          <w:sz w:val="20"/>
          <w:szCs w:val="20"/>
        </w:rPr>
      </w:pPr>
      <w:r>
        <w:rPr>
          <w:rFonts w:hint="eastAsia" w:ascii="宋体" w:hAnsi="宋体" w:cs="宋体"/>
          <w:bCs/>
          <w:sz w:val="20"/>
          <w:szCs w:val="20"/>
        </w:rPr>
        <w:t>（1）供应商需提供实时的指标和七项重点国考指标【包括出院患者手术占比、出院患者微创手术占比、出院患者四级手术比例、抗菌药物使用强度(DDDs)、门诊患者基本药物处方占比、住院患者基本药物使用率、医疗服务收入(不含药品、耗材、检查检验收入)占医疗收入比例】。</w:t>
      </w:r>
    </w:p>
    <w:p>
      <w:pPr>
        <w:spacing w:line="400" w:lineRule="exact"/>
        <w:ind w:firstLine="400" w:firstLineChars="200"/>
        <w:jc w:val="left"/>
        <w:rPr>
          <w:rFonts w:ascii="宋体" w:hAnsi="宋体" w:cs="宋体"/>
          <w:bCs/>
          <w:color w:val="000000"/>
          <w:sz w:val="20"/>
          <w:szCs w:val="20"/>
        </w:rPr>
      </w:pPr>
      <w:r>
        <w:rPr>
          <w:rFonts w:hint="eastAsia" w:ascii="宋体" w:hAnsi="宋体" w:cs="宋体"/>
          <w:bCs/>
          <w:sz w:val="20"/>
          <w:szCs w:val="20"/>
        </w:rPr>
        <w:t>（2）供应商需提供模拟测试系统</w:t>
      </w:r>
      <w:r>
        <w:rPr>
          <w:rFonts w:hint="eastAsia" w:ascii="宋体" w:hAnsi="宋体" w:cs="宋体"/>
          <w:bCs/>
          <w:color w:val="000000"/>
          <w:sz w:val="20"/>
          <w:szCs w:val="20"/>
        </w:rPr>
        <w:t>，用户可以模拟院领导/科主任、查看分析指标，以验证系统规则以及自定义规则的合理性和有效性，验证过程不能干扰科室实际运营情况。</w:t>
      </w:r>
    </w:p>
    <w:p>
      <w:pPr>
        <w:spacing w:line="400" w:lineRule="exact"/>
        <w:ind w:firstLine="400" w:firstLineChars="200"/>
        <w:jc w:val="left"/>
        <w:rPr>
          <w:rFonts w:ascii="宋体" w:hAnsi="宋体" w:cs="宋体"/>
          <w:bCs/>
          <w:color w:val="000000"/>
          <w:sz w:val="20"/>
          <w:szCs w:val="20"/>
        </w:rPr>
      </w:pPr>
      <w:r>
        <w:rPr>
          <w:rFonts w:hint="eastAsia" w:ascii="宋体" w:hAnsi="宋体" w:cs="宋体"/>
          <w:bCs/>
          <w:color w:val="000000"/>
          <w:sz w:val="20"/>
          <w:szCs w:val="20"/>
        </w:rPr>
        <w:t>（3）系统要求以B/S架构部署，软件系统以浏览器为统一操作界面。</w:t>
      </w:r>
    </w:p>
    <w:p>
      <w:pPr>
        <w:spacing w:line="400" w:lineRule="exact"/>
        <w:ind w:firstLine="400" w:firstLineChars="200"/>
        <w:jc w:val="left"/>
        <w:rPr>
          <w:rFonts w:ascii="宋体" w:hAnsi="宋体" w:cs="宋体"/>
          <w:bCs/>
          <w:color w:val="000000"/>
          <w:sz w:val="20"/>
          <w:szCs w:val="20"/>
        </w:rPr>
      </w:pPr>
      <w:r>
        <w:rPr>
          <w:rFonts w:hint="eastAsia" w:ascii="宋体" w:hAnsi="宋体" w:cs="宋体"/>
          <w:bCs/>
          <w:color w:val="000000"/>
          <w:sz w:val="20"/>
          <w:szCs w:val="20"/>
        </w:rPr>
        <w:t>（4）系统和医院各业务信息系统的对接，可通过多种接口方式进行，以达到实时干预、实时审方、实时分析的效果。</w:t>
      </w:r>
    </w:p>
    <w:p>
      <w:pPr>
        <w:spacing w:line="400" w:lineRule="exact"/>
        <w:ind w:firstLine="400" w:firstLineChars="200"/>
        <w:jc w:val="left"/>
        <w:rPr>
          <w:rFonts w:ascii="宋体" w:hAnsi="宋体" w:cs="宋体"/>
          <w:bCs/>
          <w:color w:val="000000"/>
          <w:sz w:val="20"/>
          <w:szCs w:val="20"/>
        </w:rPr>
      </w:pPr>
      <w:r>
        <w:rPr>
          <w:rFonts w:hint="eastAsia" w:ascii="宋体" w:hAnsi="宋体" w:cs="宋体"/>
          <w:bCs/>
          <w:color w:val="000000"/>
          <w:sz w:val="20"/>
          <w:szCs w:val="20"/>
        </w:rPr>
        <w:t>（5）部署</w:t>
      </w:r>
      <w:r>
        <w:rPr>
          <w:rFonts w:hint="eastAsia"/>
        </w:rPr>
        <w:t>领导驾驶舱（智慧大屏）、</w:t>
      </w:r>
      <w:r>
        <w:rPr>
          <w:rFonts w:hint="eastAsia" w:ascii="宋体" w:hAnsi="宋体" w:cs="宋体"/>
          <w:color w:val="000000"/>
          <w:kern w:val="0"/>
        </w:rPr>
        <w:t>国考指标监测系统</w:t>
      </w:r>
      <w:r>
        <w:rPr>
          <w:rFonts w:hint="eastAsia" w:ascii="宋体" w:hAnsi="宋体" w:cs="宋体"/>
          <w:bCs/>
          <w:color w:val="000000"/>
          <w:sz w:val="20"/>
          <w:szCs w:val="20"/>
        </w:rPr>
        <w:t>所需的操作系统和数据库软件系统</w:t>
      </w:r>
      <w:r>
        <w:rPr>
          <w:rFonts w:hint="eastAsia" w:ascii="宋体" w:hAnsi="宋体" w:cs="宋体"/>
          <w:bCs/>
          <w:sz w:val="20"/>
          <w:szCs w:val="20"/>
        </w:rPr>
        <w:t>由供应商提供</w:t>
      </w:r>
      <w:r>
        <w:rPr>
          <w:rFonts w:hint="eastAsia" w:ascii="宋体" w:hAnsi="宋体" w:cs="宋体"/>
          <w:bCs/>
          <w:color w:val="000000"/>
          <w:sz w:val="20"/>
          <w:szCs w:val="20"/>
        </w:rPr>
        <w:t>并安装，要求无版权问题。</w:t>
      </w:r>
    </w:p>
    <w:p>
      <w:pPr>
        <w:pStyle w:val="2"/>
      </w:pPr>
    </w:p>
    <w:p>
      <w:pPr>
        <w:pStyle w:val="20"/>
        <w:ind w:firstLine="0" w:firstLineChars="0"/>
        <w:rPr>
          <w:rFonts w:ascii="宋体" w:hAnsi="宋体"/>
          <w:b/>
          <w:kern w:val="0"/>
          <w:sz w:val="21"/>
          <w:szCs w:val="21"/>
        </w:rPr>
      </w:pPr>
      <w:r>
        <w:rPr>
          <w:rFonts w:hint="eastAsia" w:ascii="宋体" w:hAnsi="宋体"/>
          <w:b/>
          <w:kern w:val="0"/>
          <w:sz w:val="21"/>
          <w:szCs w:val="21"/>
        </w:rPr>
        <w:t>（二）系统功能技术参数要求</w:t>
      </w:r>
    </w:p>
    <w:p>
      <w:pPr>
        <w:spacing w:before="120" w:line="360" w:lineRule="auto"/>
        <w:jc w:val="left"/>
        <w:rPr>
          <w:rFonts w:ascii="宋体" w:hAnsi="宋体" w:cs="宋体"/>
          <w:b/>
          <w:sz w:val="22"/>
        </w:rPr>
      </w:pPr>
      <w:r>
        <w:rPr>
          <w:rFonts w:hint="eastAsia" w:ascii="宋体" w:hAnsi="宋体" w:cs="宋体"/>
          <w:b/>
          <w:sz w:val="22"/>
        </w:rPr>
        <w:t>（1）</w:t>
      </w:r>
      <w:r>
        <w:rPr>
          <w:rFonts w:hint="eastAsia"/>
        </w:rPr>
        <w:t>领导驾驶舱（智慧大屏）</w:t>
      </w:r>
    </w:p>
    <w:tbl>
      <w:tblPr>
        <w:tblStyle w:val="11"/>
        <w:tblW w:w="485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1600"/>
        <w:gridCol w:w="1211"/>
        <w:gridCol w:w="560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tblHeader/>
          <w:jc w:val="center"/>
        </w:trPr>
        <w:tc>
          <w:tcPr>
            <w:tcW w:w="95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模块功能类别</w:t>
            </w:r>
          </w:p>
        </w:tc>
        <w:tc>
          <w:tcPr>
            <w:tcW w:w="4049" w:type="pct"/>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技术指标及性能说明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门急诊</w:t>
            </w: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门急诊人次</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rPr>
            </w:pPr>
            <w:r>
              <w:rPr>
                <w:rFonts w:hint="eastAsia" w:ascii="宋体" w:hAnsi="宋体" w:cs="宋体"/>
                <w:sz w:val="20"/>
                <w:szCs w:val="20"/>
              </w:rPr>
              <w:t>系统应支持科室排名</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急诊危重症病人比例</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r>
              <w:rPr>
                <w:rFonts w:hint="eastAsia" w:ascii="宋体" w:hAnsi="宋体" w:cs="宋体"/>
                <w:sz w:val="20"/>
                <w:szCs w:val="20"/>
              </w:rPr>
              <w:t>系统应支持危重人数与危重症比例两项指标同时展示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诊位效率</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r>
              <w:rPr>
                <w:rFonts w:hint="eastAsia" w:ascii="宋体" w:hAnsi="宋体" w:cs="宋体"/>
                <w:sz w:val="20"/>
                <w:szCs w:val="20"/>
              </w:rPr>
              <w:t>系统应支持科室排名</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病源结构</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系统应支持市内外与省内外的对比分析</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住院</w:t>
            </w: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出院人次</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系统应支持科室排名</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危重病人比例</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平均住院天数</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系统应支持科室排名</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病源结构</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系统应支持市内外与省内外的对比分析</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手术</w:t>
            </w: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手术例次</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系统应支持科室排名</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三四级手术率</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术前平均住院日</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系统应支持科室排名</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手术病人占比</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b/>
                <w:bCs/>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b/>
                <w:bCs/>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检查</w:t>
            </w:r>
          </w:p>
        </w:tc>
        <w:tc>
          <w:tcPr>
            <w:tcW w:w="719"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医学影像</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检验</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系统应支持科室排名</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超声检查</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病理</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收费</w:t>
            </w: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医疗收入</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系统应支持科室排名</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收入结构</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次均费用</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系统应支持科室排名</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人均医务收入</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系统应支持四年内的数据按月展示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系统应支持图表的形式展示指标</w:t>
            </w:r>
            <w:r>
              <w:rPr>
                <w:rFonts w:hint="eastAsia" w:ascii="宋体" w:hAnsi="宋体" w:cs="宋体"/>
                <w:sz w:val="20"/>
                <w:szCs w:val="20"/>
                <w:lang w:val="zh-TW" w:eastAsia="zh-TW"/>
              </w:rPr>
              <w:t>。</w:t>
            </w:r>
          </w:p>
        </w:tc>
      </w:tr>
    </w:tbl>
    <w:p>
      <w:pPr>
        <w:spacing w:before="120" w:line="360" w:lineRule="auto"/>
        <w:jc w:val="left"/>
        <w:rPr>
          <w:rFonts w:ascii="宋体" w:hAnsi="宋体" w:cs="宋体"/>
          <w:b/>
          <w:sz w:val="22"/>
        </w:rPr>
      </w:pPr>
      <w:r>
        <w:rPr>
          <w:rFonts w:hint="eastAsia" w:ascii="宋体" w:hAnsi="宋体" w:cs="宋体"/>
          <w:b/>
          <w:sz w:val="22"/>
        </w:rPr>
        <w:t>2）</w:t>
      </w:r>
      <w:r>
        <w:rPr>
          <w:rFonts w:hint="eastAsia" w:ascii="宋体" w:hAnsi="宋体" w:cs="宋体"/>
          <w:color w:val="000000"/>
          <w:kern w:val="0"/>
        </w:rPr>
        <w:t>国考指标监测</w:t>
      </w:r>
    </w:p>
    <w:tbl>
      <w:tblPr>
        <w:tblStyle w:val="11"/>
        <w:tblW w:w="485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1600"/>
        <w:gridCol w:w="1211"/>
        <w:gridCol w:w="560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模块功能类别</w:t>
            </w:r>
          </w:p>
        </w:tc>
        <w:tc>
          <w:tcPr>
            <w:tcW w:w="4049" w:type="pct"/>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技术指标及性能说明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color w:val="000000"/>
                <w:kern w:val="0"/>
              </w:rPr>
              <w:t>国考指标监测</w:t>
            </w: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bCs/>
                <w:sz w:val="20"/>
                <w:szCs w:val="20"/>
              </w:rPr>
              <w:t>出院患者手术占比</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rPr>
            </w:pPr>
            <w:r>
              <w:rPr>
                <w:rFonts w:hint="eastAsia" w:ascii="宋体" w:hAnsi="宋体" w:cs="宋体"/>
                <w:sz w:val="20"/>
                <w:szCs w:val="20"/>
              </w:rPr>
              <w:t>系统应支持指标分数展示</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r>
              <w:rPr>
                <w:rFonts w:hint="eastAsia" w:ascii="宋体" w:hAnsi="宋体" w:cs="宋体"/>
                <w:sz w:val="20"/>
                <w:szCs w:val="20"/>
              </w:rPr>
              <w:t>系统应支持指标环比展示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系统应支持指标明细的下钻</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bCs/>
                <w:sz w:val="20"/>
                <w:szCs w:val="20"/>
              </w:rPr>
              <w:t>出院患者微创手术占比</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rPr>
            </w:pPr>
            <w:r>
              <w:rPr>
                <w:rFonts w:hint="eastAsia" w:ascii="宋体" w:hAnsi="宋体" w:cs="宋体"/>
                <w:sz w:val="20"/>
                <w:szCs w:val="20"/>
              </w:rPr>
              <w:t>系统应支持指标分数展示</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系统应支持指标环比展示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r>
              <w:rPr>
                <w:rFonts w:hint="eastAsia" w:ascii="宋体" w:hAnsi="宋体" w:cs="宋体"/>
                <w:sz w:val="20"/>
                <w:szCs w:val="20"/>
              </w:rPr>
              <w:t>系统应支持指标明细的下钻</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bCs/>
                <w:sz w:val="20"/>
                <w:szCs w:val="20"/>
              </w:rPr>
              <w:t>出院患者四级手术比例</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r>
              <w:rPr>
                <w:rFonts w:hint="eastAsia" w:ascii="宋体" w:hAnsi="宋体" w:cs="宋体"/>
                <w:sz w:val="20"/>
                <w:szCs w:val="20"/>
              </w:rPr>
              <w:t>系统应支持指标分数展示</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系统应支持指标环比展示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系统应支持指标明细的下钻</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color w:val="333333"/>
                <w:szCs w:val="21"/>
                <w:shd w:val="clear" w:color="auto" w:fill="FFFFFF"/>
              </w:rPr>
              <w:t>▲</w:t>
            </w:r>
            <w:r>
              <w:rPr>
                <w:rFonts w:hint="eastAsia" w:ascii="宋体" w:hAnsi="宋体" w:cs="宋体"/>
                <w:bCs/>
                <w:sz w:val="20"/>
                <w:szCs w:val="20"/>
              </w:rPr>
              <w:t>抗菌药物使用强度(DDDs)</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系统应支持指标分数展示</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系统应支持指标环比展示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系统应支持指标明细的下钻</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color w:val="333333"/>
                <w:szCs w:val="21"/>
                <w:shd w:val="clear" w:color="auto" w:fill="FFFFFF"/>
              </w:rPr>
              <w:t>▲</w:t>
            </w:r>
            <w:r>
              <w:rPr>
                <w:rFonts w:hint="eastAsia" w:ascii="宋体" w:hAnsi="宋体" w:cs="宋体"/>
                <w:bCs/>
                <w:sz w:val="20"/>
                <w:szCs w:val="20"/>
              </w:rPr>
              <w:t>门诊患者基本药物处方占比</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bCs/>
                <w:sz w:val="20"/>
                <w:szCs w:val="20"/>
              </w:rPr>
            </w:pPr>
            <w:r>
              <w:rPr>
                <w:rFonts w:hint="eastAsia" w:ascii="宋体" w:hAnsi="宋体" w:cs="宋体"/>
                <w:sz w:val="20"/>
                <w:szCs w:val="20"/>
              </w:rPr>
              <w:t>系统应支持指标分数展示</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bCs/>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bCs/>
                <w:sz w:val="20"/>
                <w:szCs w:val="20"/>
              </w:rPr>
            </w:pPr>
            <w:r>
              <w:rPr>
                <w:rFonts w:hint="eastAsia" w:ascii="宋体" w:hAnsi="宋体" w:cs="宋体"/>
                <w:sz w:val="20"/>
                <w:szCs w:val="20"/>
              </w:rPr>
              <w:t>系统应支持指标环比展示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bCs/>
                <w:sz w:val="20"/>
                <w:szCs w:val="20"/>
              </w:rPr>
            </w:pPr>
            <w:r>
              <w:rPr>
                <w:rFonts w:hint="eastAsia" w:ascii="宋体" w:hAnsi="宋体" w:cs="宋体"/>
                <w:sz w:val="20"/>
                <w:szCs w:val="20"/>
              </w:rPr>
              <w:t>系统应支持指标明细的下钻</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color w:val="333333"/>
                <w:szCs w:val="21"/>
                <w:shd w:val="clear" w:color="auto" w:fill="FFFFFF"/>
              </w:rPr>
              <w:t>▲</w:t>
            </w:r>
            <w:r>
              <w:rPr>
                <w:rFonts w:hint="eastAsia" w:ascii="宋体" w:hAnsi="宋体" w:cs="宋体"/>
                <w:bCs/>
                <w:sz w:val="20"/>
                <w:szCs w:val="20"/>
              </w:rPr>
              <w:t>住院患者基本药物使用率</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bCs/>
                <w:sz w:val="20"/>
                <w:szCs w:val="20"/>
              </w:rPr>
            </w:pPr>
            <w:r>
              <w:rPr>
                <w:rFonts w:hint="eastAsia" w:ascii="宋体" w:hAnsi="宋体" w:cs="宋体"/>
                <w:sz w:val="20"/>
                <w:szCs w:val="20"/>
              </w:rPr>
              <w:t>系统应支持指标分数展示</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bCs/>
                <w:sz w:val="20"/>
                <w:szCs w:val="20"/>
              </w:rPr>
            </w:pPr>
            <w:r>
              <w:rPr>
                <w:rFonts w:hint="eastAsia" w:ascii="宋体" w:hAnsi="宋体" w:cs="宋体"/>
                <w:sz w:val="20"/>
                <w:szCs w:val="20"/>
              </w:rPr>
              <w:t>系统应支持指标环比展示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bCs/>
                <w:sz w:val="20"/>
                <w:szCs w:val="20"/>
              </w:rPr>
            </w:pPr>
            <w:r>
              <w:rPr>
                <w:rFonts w:hint="eastAsia" w:ascii="宋体" w:hAnsi="宋体" w:cs="宋体"/>
                <w:sz w:val="20"/>
                <w:szCs w:val="20"/>
              </w:rPr>
              <w:t>系统应支持指标明细的下钻</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bCs/>
                <w:sz w:val="20"/>
                <w:szCs w:val="20"/>
              </w:rPr>
              <w:t>医疗服务收入(不含药品、耗材、检查检验收入)占医疗收入比例</w:t>
            </w: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r>
              <w:rPr>
                <w:rFonts w:hint="eastAsia" w:ascii="宋体" w:hAnsi="宋体" w:cs="宋体"/>
                <w:sz w:val="20"/>
                <w:szCs w:val="20"/>
              </w:rPr>
              <w:t>系统应支持指标分数展示</w:t>
            </w:r>
            <w:r>
              <w:rPr>
                <w:rFonts w:hint="eastAsia" w:ascii="宋体" w:hAnsi="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系统应支持指标环比展示</w:t>
            </w:r>
            <w:r>
              <w:rPr>
                <w:rFonts w:hint="eastAsia" w:ascii="宋体" w:hAnsi="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系统应支持指标明细的下钻</w:t>
            </w:r>
            <w:r>
              <w:rPr>
                <w:rFonts w:hint="eastAsia" w:ascii="宋体" w:hAnsi="宋体" w:cs="宋体"/>
                <w:sz w:val="20"/>
                <w:szCs w:val="20"/>
                <w:lang w:val="zh-TW" w:eastAsia="zh-TW"/>
              </w:rPr>
              <w:t>。</w:t>
            </w:r>
          </w:p>
        </w:tc>
      </w:tr>
    </w:tbl>
    <w:p>
      <w:pPr>
        <w:spacing w:before="120" w:line="360" w:lineRule="auto"/>
        <w:jc w:val="left"/>
        <w:rPr>
          <w:rFonts w:ascii="宋体" w:hAnsi="宋体" w:cs="宋体"/>
          <w:szCs w:val="21"/>
        </w:rPr>
      </w:pPr>
      <w:r>
        <w:rPr>
          <w:rFonts w:hint="eastAsia" w:ascii="宋体" w:hAnsi="宋体" w:cs="宋体"/>
          <w:szCs w:val="21"/>
        </w:rPr>
        <w:t>注：标</w:t>
      </w:r>
      <w:r>
        <w:rPr>
          <w:rFonts w:hint="eastAsia" w:ascii="宋体" w:hAnsi="宋体" w:cs="宋体"/>
          <w:color w:val="333333"/>
          <w:szCs w:val="21"/>
          <w:shd w:val="clear" w:color="auto" w:fill="FFFFFF"/>
        </w:rPr>
        <w:t>▲为关键指标项，如不满足要求严重负偏离影响投标产品服务、性能的，经半数以上评委认定，本项不得分。</w:t>
      </w:r>
    </w:p>
    <w:p>
      <w:pPr>
        <w:pStyle w:val="20"/>
        <w:ind w:firstLine="0" w:firstLineChars="0"/>
        <w:rPr>
          <w:rFonts w:ascii="宋体" w:hAnsi="宋体"/>
          <w:b/>
          <w:kern w:val="0"/>
          <w:sz w:val="21"/>
          <w:szCs w:val="21"/>
        </w:rPr>
      </w:pPr>
      <w:r>
        <w:rPr>
          <w:rFonts w:hint="eastAsia" w:ascii="宋体" w:hAnsi="宋体"/>
          <w:b/>
          <w:kern w:val="0"/>
          <w:sz w:val="21"/>
          <w:szCs w:val="21"/>
        </w:rPr>
        <w:t>四、实施及售后服务要求：</w:t>
      </w:r>
    </w:p>
    <w:p>
      <w:pPr>
        <w:spacing w:line="400" w:lineRule="exact"/>
        <w:jc w:val="left"/>
        <w:rPr>
          <w:rFonts w:ascii="宋体" w:hAnsi="宋体" w:cs="宋体"/>
          <w:b/>
          <w:color w:val="000000"/>
          <w:spacing w:val="6"/>
          <w:kern w:val="48"/>
          <w:sz w:val="20"/>
          <w:szCs w:val="20"/>
        </w:rPr>
      </w:pPr>
      <w:r>
        <w:rPr>
          <w:rFonts w:hint="eastAsia" w:ascii="宋体" w:hAnsi="宋体" w:cs="宋体"/>
          <w:b/>
          <w:color w:val="000000"/>
          <w:spacing w:val="6"/>
          <w:kern w:val="48"/>
          <w:sz w:val="20"/>
          <w:szCs w:val="20"/>
          <w:u w:val="single"/>
        </w:rPr>
        <w:t>（1）实施管理要求：</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1、供应商应提供高质量的实施团队，并尽快在规定的时间内完成项目的实施工作，确保软件可以按时上线运行。</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2、实施内容</w:t>
      </w:r>
    </w:p>
    <w:p>
      <w:pPr>
        <w:spacing w:line="400" w:lineRule="exact"/>
        <w:ind w:firstLine="424" w:firstLineChars="200"/>
        <w:jc w:val="left"/>
        <w:rPr>
          <w:rFonts w:ascii="宋体" w:hAnsi="宋体" w:cs="宋体"/>
          <w:spacing w:val="6"/>
          <w:kern w:val="48"/>
          <w:sz w:val="20"/>
          <w:szCs w:val="20"/>
        </w:rPr>
      </w:pPr>
      <w:r>
        <w:rPr>
          <w:rFonts w:hint="eastAsia" w:ascii="宋体" w:hAnsi="宋体" w:cs="宋体"/>
          <w:color w:val="000000"/>
          <w:spacing w:val="6"/>
          <w:kern w:val="48"/>
          <w:sz w:val="20"/>
          <w:szCs w:val="20"/>
        </w:rPr>
        <w:t>项目正式验收前的系统运行维护工作，主要由供应商项目组系统维护部负责。</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2.1 完成“领导驾驶舱（智慧大屏）、国考指标监测项目”，由专业技术人员上门安装、调试、配置系统。</w:t>
      </w:r>
    </w:p>
    <w:p>
      <w:pPr>
        <w:spacing w:line="400" w:lineRule="exact"/>
        <w:ind w:firstLine="424" w:firstLineChars="200"/>
        <w:jc w:val="left"/>
        <w:rPr>
          <w:rFonts w:ascii="宋体" w:hAnsi="宋体" w:cs="宋体"/>
          <w:spacing w:val="6"/>
          <w:kern w:val="48"/>
          <w:sz w:val="20"/>
          <w:szCs w:val="20"/>
        </w:rPr>
      </w:pPr>
      <w:r>
        <w:rPr>
          <w:rFonts w:hint="eastAsia" w:ascii="宋体" w:hAnsi="宋体" w:cs="宋体"/>
          <w:spacing w:val="6"/>
          <w:kern w:val="48"/>
          <w:sz w:val="20"/>
          <w:szCs w:val="20"/>
        </w:rPr>
        <w:t>2.2 定制开发相关数据采集接口。</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spacing w:val="6"/>
          <w:kern w:val="48"/>
          <w:sz w:val="20"/>
          <w:szCs w:val="20"/>
        </w:rPr>
        <w:t>2.3 培训相关操作和管理人员，保障工作人员能熟练操作本项目系统，制定培训计划，包括但不限于（1）对院领导、科主任、归口负责人、科室人员等不同对象的培训计划；（2）培训课程安排、培训方式由原厂商提供，时间</w:t>
      </w:r>
      <w:r>
        <w:rPr>
          <w:rFonts w:hint="eastAsia" w:ascii="宋体" w:hAnsi="宋体" w:cs="宋体"/>
          <w:color w:val="000000"/>
          <w:spacing w:val="6"/>
          <w:kern w:val="48"/>
          <w:sz w:val="20"/>
          <w:szCs w:val="20"/>
        </w:rPr>
        <w:t>、地点及场所由医院提供;（3）提供系统操作培训：主要面向医生、药学人员等使用系统的人员，提供操作培训。</w:t>
      </w:r>
    </w:p>
    <w:p>
      <w:pPr>
        <w:spacing w:line="400" w:lineRule="exact"/>
        <w:jc w:val="left"/>
        <w:rPr>
          <w:rFonts w:ascii="宋体" w:hAnsi="宋体" w:cs="宋体"/>
          <w:b/>
          <w:color w:val="000000"/>
          <w:spacing w:val="6"/>
          <w:kern w:val="48"/>
          <w:sz w:val="20"/>
          <w:szCs w:val="20"/>
        </w:rPr>
      </w:pPr>
      <w:r>
        <w:rPr>
          <w:rFonts w:hint="eastAsia" w:ascii="宋体" w:hAnsi="宋体" w:cs="宋体"/>
          <w:b/>
          <w:color w:val="000000"/>
          <w:spacing w:val="6"/>
          <w:kern w:val="48"/>
          <w:sz w:val="20"/>
          <w:szCs w:val="20"/>
          <w:u w:val="single"/>
        </w:rPr>
        <w:t>（2）售后服务要求：</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1、售后服务机制</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1.1.供应商应提供全方位的服务，包括：技术咨询、操作培训、系统维护、数据库调优等。</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1.2.有专门的服务队伍，以确保服务畅通和高效，实行项目经理负责制。</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1.3.有完备的跟踪服务制度，通过定期的电话回访、走访等方式对服务进行跟踪，以保证客户满意。</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2、售后服务体系</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2.1.供应商应拥有专业的开发团队，在项目实施前后为用户提供一致的技术支持体验，其中包括技术咨询、实施指导、运行维护和定期回访等，能解决项目运行过程中的技术问题。</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2.2对项目实行“首问负责制”，即对于采购人所提出的需要解决和服务的问题，只要将该问题对售后服务部门内任何一位员工反映即可得到主动式服务。</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3、售后服务方式</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3.1.电话支持，为使用方提供 8 小时×365 天的全方位服务，除了提供公司的技术服务支持电话外，还应注明项目主要技术成员的移动电话，用于双方及时沟通并解决问题，电话支持即时响应。</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3.2.现场服务，对于电话不能很好解决及其他必须亲临现场服务的内容，供应商应在第一时间根据具体情况迅速安排人员24小时内快速到达现场提供服务。</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3.3远程服务，供应商可借助网络工具远程实时维护系统，如 QQ、微信远程协助等功能对采购人系统进行远程实时系统维护及操作指导，帮助采购人快速解决遇到的大多数软件及系统方面的问题。</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4、售后服务范围</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4.1.提供相关帮助文档，开展相关培训；</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4.2.日常运行中的故障排除及维护；系统所处网络环境、主机及其他外设适配带来的调整工作；系统与其他软件适配带来的调整工作；</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4.3.随着软件产品不断的更新换代，主动及时地给采购人发放升级信息等相关资料，根据采购人需求为其提供个性化升级服务；</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4.4.其他可通过远程协助解决的技术问题；</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5、</w:t>
      </w:r>
      <w:r>
        <w:rPr>
          <w:rFonts w:hint="eastAsia" w:ascii="宋体" w:hAnsi="宋体" w:cs="宋体"/>
          <w:color w:val="000000"/>
          <w:spacing w:val="6"/>
          <w:kern w:val="48"/>
          <w:sz w:val="20"/>
          <w:szCs w:val="20"/>
          <w:u w:val="single"/>
        </w:rPr>
        <w:t>售后服务维保要求：提供</w:t>
      </w:r>
      <w:r>
        <w:rPr>
          <w:rFonts w:ascii="宋体" w:hAnsi="宋体" w:cs="宋体"/>
          <w:color w:val="000000"/>
          <w:spacing w:val="6"/>
          <w:kern w:val="48"/>
          <w:sz w:val="20"/>
          <w:szCs w:val="20"/>
          <w:u w:val="single"/>
        </w:rPr>
        <w:t>1</w:t>
      </w:r>
      <w:r>
        <w:rPr>
          <w:rFonts w:hint="eastAsia" w:ascii="宋体" w:hAnsi="宋体" w:cs="宋体"/>
          <w:color w:val="000000"/>
          <w:spacing w:val="6"/>
          <w:kern w:val="48"/>
          <w:sz w:val="20"/>
          <w:szCs w:val="20"/>
          <w:u w:val="single"/>
        </w:rPr>
        <w:t>年免费质保服务</w:t>
      </w:r>
      <w:r>
        <w:rPr>
          <w:rFonts w:hint="eastAsia" w:ascii="宋体" w:hAnsi="宋体" w:cs="宋体"/>
          <w:color w:val="000000"/>
          <w:spacing w:val="6"/>
          <w:kern w:val="48"/>
          <w:sz w:val="20"/>
          <w:szCs w:val="20"/>
        </w:rPr>
        <w:t>。</w:t>
      </w:r>
    </w:p>
    <w:p>
      <w:pPr>
        <w:pStyle w:val="4"/>
        <w:rPr>
          <w:rFonts w:ascii="宋体" w:hAnsi="宋体" w:eastAsia="宋体" w:cs="宋体"/>
          <w:color w:val="000000"/>
          <w:spacing w:val="6"/>
          <w:kern w:val="48"/>
          <w:sz w:val="24"/>
          <w:szCs w:val="24"/>
        </w:rPr>
      </w:pPr>
    </w:p>
    <w:sectPr>
      <w:pgSz w:w="11906" w:h="16838"/>
      <w:pgMar w:top="1134" w:right="1701" w:bottom="85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0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8750"/>
    <w:multiLevelType w:val="singleLevel"/>
    <w:tmpl w:val="B1CB8750"/>
    <w:lvl w:ilvl="0" w:tentative="0">
      <w:start w:val="3"/>
      <w:numFmt w:val="chineseCounting"/>
      <w:suff w:val="nothing"/>
      <w:lvlText w:val="%1、"/>
      <w:lvlJc w:val="left"/>
      <w:rPr>
        <w:rFonts w:hint="eastAsia"/>
      </w:rPr>
    </w:lvl>
  </w:abstractNum>
  <w:abstractNum w:abstractNumId="1">
    <w:nsid w:val="374F01DF"/>
    <w:multiLevelType w:val="multilevel"/>
    <w:tmpl w:val="374F01DF"/>
    <w:lvl w:ilvl="0" w:tentative="0">
      <w:start w:val="1"/>
      <w:numFmt w:val="japaneseCounting"/>
      <w:lvlText w:val="第%1章"/>
      <w:lvlJc w:val="left"/>
      <w:pPr>
        <w:ind w:left="1215" w:hanging="12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1D01BD"/>
    <w:rsid w:val="00026349"/>
    <w:rsid w:val="00030F32"/>
    <w:rsid w:val="00050FC1"/>
    <w:rsid w:val="000D3667"/>
    <w:rsid w:val="00174439"/>
    <w:rsid w:val="001A6744"/>
    <w:rsid w:val="001C52C2"/>
    <w:rsid w:val="001D01BD"/>
    <w:rsid w:val="00210D97"/>
    <w:rsid w:val="00271742"/>
    <w:rsid w:val="002C318E"/>
    <w:rsid w:val="00354444"/>
    <w:rsid w:val="00396053"/>
    <w:rsid w:val="00407202"/>
    <w:rsid w:val="00426BF6"/>
    <w:rsid w:val="00443342"/>
    <w:rsid w:val="004612F6"/>
    <w:rsid w:val="004627CE"/>
    <w:rsid w:val="00492D7A"/>
    <w:rsid w:val="004A7281"/>
    <w:rsid w:val="005400B1"/>
    <w:rsid w:val="005C6AA8"/>
    <w:rsid w:val="005E7321"/>
    <w:rsid w:val="0064623B"/>
    <w:rsid w:val="006521CA"/>
    <w:rsid w:val="00662311"/>
    <w:rsid w:val="006A611E"/>
    <w:rsid w:val="006C3FEA"/>
    <w:rsid w:val="006D03D6"/>
    <w:rsid w:val="00701F0A"/>
    <w:rsid w:val="00780935"/>
    <w:rsid w:val="008310F4"/>
    <w:rsid w:val="00842B4C"/>
    <w:rsid w:val="0087659C"/>
    <w:rsid w:val="008B50E1"/>
    <w:rsid w:val="008D50AB"/>
    <w:rsid w:val="009171F0"/>
    <w:rsid w:val="00930C42"/>
    <w:rsid w:val="0096076C"/>
    <w:rsid w:val="009A6EAF"/>
    <w:rsid w:val="00AB018F"/>
    <w:rsid w:val="00B00AA0"/>
    <w:rsid w:val="00B73265"/>
    <w:rsid w:val="00B77468"/>
    <w:rsid w:val="00C13E3C"/>
    <w:rsid w:val="00C2167D"/>
    <w:rsid w:val="00C42CED"/>
    <w:rsid w:val="00C96D1C"/>
    <w:rsid w:val="00CA7EB5"/>
    <w:rsid w:val="00CF1A81"/>
    <w:rsid w:val="00D665A8"/>
    <w:rsid w:val="00D72E5D"/>
    <w:rsid w:val="00D918E8"/>
    <w:rsid w:val="00DD63E3"/>
    <w:rsid w:val="00E322E9"/>
    <w:rsid w:val="00E54901"/>
    <w:rsid w:val="00EC3904"/>
    <w:rsid w:val="00EE22B5"/>
    <w:rsid w:val="00F02071"/>
    <w:rsid w:val="00F06928"/>
    <w:rsid w:val="00F37A54"/>
    <w:rsid w:val="00F77940"/>
    <w:rsid w:val="00FA1EF5"/>
    <w:rsid w:val="00FB7872"/>
    <w:rsid w:val="05700B87"/>
    <w:rsid w:val="0A705385"/>
    <w:rsid w:val="10FA4306"/>
    <w:rsid w:val="12821ED9"/>
    <w:rsid w:val="12CD72A7"/>
    <w:rsid w:val="15525935"/>
    <w:rsid w:val="17005FBC"/>
    <w:rsid w:val="176075D7"/>
    <w:rsid w:val="19EF52D8"/>
    <w:rsid w:val="1BCF0653"/>
    <w:rsid w:val="1DF51CE6"/>
    <w:rsid w:val="1DF8560E"/>
    <w:rsid w:val="220015D2"/>
    <w:rsid w:val="224B705D"/>
    <w:rsid w:val="2604539D"/>
    <w:rsid w:val="29023D0F"/>
    <w:rsid w:val="2C3B438B"/>
    <w:rsid w:val="2D076076"/>
    <w:rsid w:val="39886A9F"/>
    <w:rsid w:val="3E337180"/>
    <w:rsid w:val="42A76F80"/>
    <w:rsid w:val="43E0128D"/>
    <w:rsid w:val="443F1892"/>
    <w:rsid w:val="4473751E"/>
    <w:rsid w:val="44895441"/>
    <w:rsid w:val="486A6E89"/>
    <w:rsid w:val="491446BA"/>
    <w:rsid w:val="4A083D2C"/>
    <w:rsid w:val="4A5A760D"/>
    <w:rsid w:val="4D4128AF"/>
    <w:rsid w:val="4EA14C89"/>
    <w:rsid w:val="51295B34"/>
    <w:rsid w:val="544E6B34"/>
    <w:rsid w:val="5A1E6A6C"/>
    <w:rsid w:val="5B846B77"/>
    <w:rsid w:val="5FAE5769"/>
    <w:rsid w:val="66190B98"/>
    <w:rsid w:val="6764271C"/>
    <w:rsid w:val="681F6A8B"/>
    <w:rsid w:val="6DC15D38"/>
    <w:rsid w:val="70484351"/>
    <w:rsid w:val="731A162D"/>
    <w:rsid w:val="73A85F67"/>
    <w:rsid w:val="755B70CF"/>
    <w:rsid w:val="77CC1A02"/>
    <w:rsid w:val="77F373ED"/>
    <w:rsid w:val="7828099D"/>
    <w:rsid w:val="787B0173"/>
    <w:rsid w:val="797F1EE5"/>
    <w:rsid w:val="79955265"/>
    <w:rsid w:val="7B78035F"/>
    <w:rsid w:val="7F73169E"/>
    <w:rsid w:val="7F7A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line="240" w:lineRule="atLeast"/>
      <w:jc w:val="center"/>
    </w:pPr>
    <w:rPr>
      <w:b/>
      <w:kern w:val="0"/>
      <w:sz w:val="30"/>
    </w:rPr>
  </w:style>
  <w:style w:type="paragraph" w:styleId="3">
    <w:name w:val="annotation text"/>
    <w:basedOn w:val="1"/>
    <w:semiHidden/>
    <w:unhideWhenUsed/>
    <w:qFormat/>
    <w:uiPriority w:val="99"/>
    <w:pPr>
      <w:jc w:val="left"/>
    </w:pPr>
  </w:style>
  <w:style w:type="paragraph" w:styleId="4">
    <w:name w:val="Body Text"/>
    <w:basedOn w:val="1"/>
    <w:qFormat/>
    <w:uiPriority w:val="0"/>
    <w:rPr>
      <w:rFonts w:ascii="楷体_GB2312" w:hAnsi="Arial" w:eastAsia="楷体_GB2312"/>
      <w:sz w:val="28"/>
      <w:szCs w:val="28"/>
    </w:rPr>
  </w:style>
  <w:style w:type="paragraph" w:styleId="5">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6">
    <w:name w:val="index 4"/>
    <w:basedOn w:val="1"/>
    <w:next w:val="1"/>
    <w:qFormat/>
    <w:uiPriority w:val="0"/>
    <w:pPr>
      <w:ind w:left="600" w:leftChars="600"/>
    </w:pPr>
    <w:rPr>
      <w:rFonts w:eastAsia="仿宋_GB2312"/>
      <w:sz w:val="24"/>
    </w:rPr>
  </w:style>
  <w:style w:type="paragraph" w:styleId="7">
    <w:name w:val="Balloon Text"/>
    <w:basedOn w:val="1"/>
    <w:link w:val="27"/>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列表段落 字符"/>
    <w:link w:val="19"/>
    <w:qFormat/>
    <w:uiPriority w:val="34"/>
    <w:rPr>
      <w:sz w:val="24"/>
      <w:szCs w:val="24"/>
    </w:rPr>
  </w:style>
  <w:style w:type="paragraph" w:customStyle="1" w:styleId="19">
    <w:name w:val="列出段落1"/>
    <w:basedOn w:val="1"/>
    <w:link w:val="18"/>
    <w:qFormat/>
    <w:uiPriority w:val="34"/>
    <w:pPr>
      <w:spacing w:line="360" w:lineRule="auto"/>
      <w:ind w:firstLine="420" w:firstLineChars="200"/>
    </w:pPr>
    <w:rPr>
      <w:rFonts w:asciiTheme="minorHAnsi" w:hAnsiTheme="minorHAnsi" w:eastAsiaTheme="minorEastAsia" w:cstheme="minorBidi"/>
      <w:sz w:val="24"/>
      <w:szCs w:val="24"/>
    </w:rPr>
  </w:style>
  <w:style w:type="paragraph" w:customStyle="1" w:styleId="20">
    <w:name w:val="样式 首行缩进:  2.25 字符"/>
    <w:basedOn w:val="1"/>
    <w:qFormat/>
    <w:uiPriority w:val="0"/>
    <w:pPr>
      <w:spacing w:line="360" w:lineRule="auto"/>
      <w:ind w:firstLine="225" w:firstLineChars="225"/>
    </w:pPr>
    <w:rPr>
      <w:rFonts w:cs="宋体"/>
      <w:sz w:val="24"/>
      <w:szCs w:val="20"/>
    </w:rPr>
  </w:style>
  <w:style w:type="paragraph" w:customStyle="1" w:styleId="21">
    <w:name w:val="列出段落2"/>
    <w:basedOn w:val="1"/>
    <w:qFormat/>
    <w:uiPriority w:val="34"/>
    <w:pPr>
      <w:ind w:firstLine="420" w:firstLineChars="200"/>
    </w:pPr>
    <w:rPr>
      <w:rFonts w:ascii="Times New Roman" w:hAnsi="Times New Roman"/>
      <w:szCs w:val="24"/>
    </w:rPr>
  </w:style>
  <w:style w:type="paragraph" w:customStyle="1" w:styleId="22">
    <w:name w:val="_Style 4"/>
    <w:basedOn w:val="1"/>
    <w:qFormat/>
    <w:uiPriority w:val="99"/>
    <w:pPr>
      <w:ind w:firstLine="420" w:firstLineChars="200"/>
    </w:pPr>
  </w:style>
  <w:style w:type="paragraph" w:styleId="23">
    <w:name w:val="List Paragraph"/>
    <w:basedOn w:val="1"/>
    <w:qFormat/>
    <w:uiPriority w:val="34"/>
    <w:pPr>
      <w:ind w:firstLine="420" w:firstLineChars="200"/>
    </w:pPr>
  </w:style>
  <w:style w:type="paragraph" w:customStyle="1" w:styleId="24">
    <w:name w:val="方案正文"/>
    <w:basedOn w:val="1"/>
    <w:qFormat/>
    <w:uiPriority w:val="0"/>
    <w:pPr>
      <w:spacing w:before="120" w:line="360" w:lineRule="auto"/>
      <w:ind w:firstLine="425" w:firstLineChars="177"/>
    </w:pPr>
    <w:rPr>
      <w:rFonts w:ascii="华文细黑" w:hAnsi="华文细黑" w:eastAsia="华文细黑"/>
      <w:sz w:val="24"/>
      <w:szCs w:val="24"/>
    </w:rPr>
  </w:style>
  <w:style w:type="paragraph" w:styleId="25">
    <w:name w:val="No Spacing"/>
    <w:qFormat/>
    <w:uiPriority w:val="1"/>
    <w:pPr>
      <w:widowControl w:val="0"/>
      <w:snapToGrid w:val="0"/>
    </w:pPr>
    <w:rPr>
      <w:rFonts w:ascii="Calibri" w:hAnsi="Calibri" w:eastAsia="微软雅黑" w:cs="Times New Roman"/>
      <w:kern w:val="2"/>
      <w:sz w:val="24"/>
      <w:szCs w:val="21"/>
      <w:lang w:val="en-US" w:eastAsia="zh-CN" w:bidi="ar-SA"/>
    </w:rPr>
  </w:style>
  <w:style w:type="paragraph" w:customStyle="1" w:styleId="26">
    <w:name w:val="列表段落1"/>
    <w:basedOn w:val="1"/>
    <w:qFormat/>
    <w:uiPriority w:val="34"/>
    <w:pPr>
      <w:ind w:firstLine="420" w:firstLineChars="200"/>
    </w:pPr>
    <w:rPr>
      <w:szCs w:val="24"/>
    </w:rPr>
  </w:style>
  <w:style w:type="character" w:customStyle="1" w:styleId="27">
    <w:name w:val="批注框文本 字符"/>
    <w:basedOn w:val="13"/>
    <w:link w:val="7"/>
    <w:semiHidden/>
    <w:qFormat/>
    <w:uiPriority w:val="99"/>
    <w:rPr>
      <w:rFonts w:ascii="Calibri" w:hAnsi="Calibri" w:eastAsia="宋体" w:cs="Times New Roman"/>
      <w:kern w:val="2"/>
      <w:sz w:val="18"/>
      <w:szCs w:val="18"/>
    </w:rPr>
  </w:style>
  <w:style w:type="paragraph" w:customStyle="1" w:styleId="28">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3765</Words>
  <Characters>3857</Characters>
  <Lines>30</Lines>
  <Paragraphs>8</Paragraphs>
  <TotalTime>4</TotalTime>
  <ScaleCrop>false</ScaleCrop>
  <LinksUpToDate>false</LinksUpToDate>
  <CharactersWithSpaces>3885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2022-07-29T07:05:00Z</dcterms:created>
  <dc:creator>office51</dc:creator>
  <cp:lastModifiedBy>小暖</cp:lastModifiedBy>
  <cp:lastPrinted>2022-06-25T02:25:00Z</cp:lastPrinted>
  <dcterms:modified xsi:type="dcterms:W3CDTF">2022-08-02T01:33:37Z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3DAD3A8C81A94DF3866B6E0DF361C477</vt:lpwstr>
  </property>
</Properties>
</file>