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6"/>
        <w:ind w:left="0" w:leftChars="0"/>
        <w:jc w:val="center"/>
        <w:rPr>
          <w:rFonts w:ascii="宋体" w:hAnsi="宋体" w:eastAsia="宋体" w:cs="宋体"/>
          <w:b/>
          <w:kern w:val="0"/>
          <w:szCs w:val="24"/>
        </w:rPr>
      </w:pPr>
      <w:r>
        <w:rPr>
          <w:rFonts w:hint="eastAsia" w:ascii="宋体" w:hAnsi="宋体" w:eastAsia="宋体" w:cs="宋体"/>
          <w:b/>
          <w:kern w:val="0"/>
          <w:szCs w:val="24"/>
        </w:rPr>
        <w:t>第一章    论证邀请</w:t>
      </w: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672"/>
        <w:gridCol w:w="830"/>
        <w:gridCol w:w="1570"/>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南京市江宁医院</w:t>
            </w:r>
          </w:p>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信息系统维保服务项目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ind w:firstLine="300" w:firstLineChars="150"/>
              <w:jc w:val="center"/>
              <w:rPr>
                <w:rFonts w:ascii="宋体" w:hAnsi="宋体" w:cs="宋体"/>
                <w:color w:val="000000"/>
                <w:kern w:val="0"/>
                <w:sz w:val="20"/>
                <w:szCs w:val="20"/>
              </w:rPr>
            </w:pPr>
            <w:r>
              <w:rPr>
                <w:rFonts w:hint="eastAsia" w:ascii="宋体" w:hAnsi="宋体" w:cs="宋体"/>
                <w:color w:val="000000"/>
                <w:kern w:val="0"/>
                <w:sz w:val="20"/>
                <w:szCs w:val="20"/>
              </w:rPr>
              <w:t>信息处</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采用驻场方式维保服务，进一步提升南京市江宁医院的信息化建设及服务的质量与效能，促进信息化在未来医院的中长期发展中能提供更为专业的、有力的、良性的持久支撑。</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6"/>
        <w:spacing w:line="360" w:lineRule="auto"/>
        <w:ind w:left="0" w:leftChars="0" w:firstLine="420" w:firstLineChars="200"/>
        <w:rPr>
          <w:rFonts w:ascii="宋体" w:hAnsi="宋体" w:eastAsia="宋体" w:cs="宋体"/>
          <w:kern w:val="0"/>
          <w:sz w:val="21"/>
          <w:szCs w:val="21"/>
        </w:rPr>
      </w:pPr>
      <w:r>
        <w:rPr>
          <w:rFonts w:hint="eastAsia" w:ascii="宋体" w:hAnsi="宋体" w:eastAsia="宋体" w:cs="宋体"/>
          <w:kern w:val="0"/>
          <w:sz w:val="21"/>
          <w:szCs w:val="21"/>
        </w:rPr>
        <w:t>5）报名单位或原厂商具备2019年至今完成的三级及以上医院合理用药审方系统建设案例，至少提供</w:t>
      </w:r>
      <w:r>
        <w:rPr>
          <w:rFonts w:ascii="宋体" w:hAnsi="宋体" w:eastAsia="宋体" w:cs="宋体"/>
          <w:kern w:val="0"/>
          <w:sz w:val="21"/>
          <w:szCs w:val="21"/>
          <w:u w:val="single"/>
        </w:rPr>
        <w:t>3</w:t>
      </w:r>
      <w:r>
        <w:rPr>
          <w:rFonts w:hint="eastAsia" w:ascii="宋体" w:hAnsi="宋体" w:eastAsia="宋体" w:cs="宋体"/>
          <w:kern w:val="0"/>
          <w:sz w:val="21"/>
          <w:szCs w:val="21"/>
          <w:u w:val="single"/>
        </w:rPr>
        <w:t>家</w:t>
      </w:r>
      <w:r>
        <w:rPr>
          <w:rFonts w:hint="eastAsia" w:ascii="宋体" w:hAnsi="宋体" w:eastAsia="宋体" w:cs="宋体"/>
          <w:kern w:val="0"/>
          <w:sz w:val="21"/>
          <w:szCs w:val="21"/>
        </w:rPr>
        <w:t>以上三级医院签约合同案例证明文件。</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ascii="宋体" w:hAnsi="宋体" w:cs="宋体"/>
          <w:szCs w:val="21"/>
        </w:rPr>
      </w:pPr>
      <w:r>
        <w:rPr>
          <w:rFonts w:hint="eastAsia" w:ascii="宋体" w:hAnsi="宋体" w:cs="宋体"/>
          <w:szCs w:val="21"/>
        </w:rPr>
        <w:t>1.报名时间：北京时间2022年</w:t>
      </w:r>
      <w:r>
        <w:rPr>
          <w:rFonts w:hint="eastAsia" w:ascii="宋体" w:hAnsi="宋体" w:cs="宋体"/>
          <w:szCs w:val="21"/>
          <w:lang w:val="en-US" w:eastAsia="zh-CN"/>
        </w:rPr>
        <w:t>7</w:t>
      </w:r>
      <w:r>
        <w:rPr>
          <w:rFonts w:hint="eastAsia" w:ascii="宋体" w:hAnsi="宋体" w:cs="宋体"/>
          <w:szCs w:val="21"/>
        </w:rPr>
        <w:t xml:space="preserve">月 </w:t>
      </w:r>
      <w:r>
        <w:rPr>
          <w:rFonts w:hint="eastAsia" w:ascii="宋体" w:hAnsi="宋体" w:cs="宋体"/>
          <w:szCs w:val="21"/>
          <w:lang w:val="en-US" w:eastAsia="zh-CN"/>
        </w:rPr>
        <w:t>19</w:t>
      </w:r>
      <w:r>
        <w:rPr>
          <w:rFonts w:hint="eastAsia" w:ascii="宋体" w:hAnsi="宋体" w:cs="宋体"/>
          <w:szCs w:val="21"/>
        </w:rPr>
        <w:t xml:space="preserve"> 日起至2022年 </w:t>
      </w:r>
      <w:r>
        <w:rPr>
          <w:rFonts w:hint="eastAsia" w:ascii="宋体" w:hAnsi="宋体" w:cs="宋体"/>
          <w:szCs w:val="21"/>
          <w:lang w:val="en-US" w:eastAsia="zh-CN"/>
        </w:rPr>
        <w:t>7</w:t>
      </w:r>
      <w:r>
        <w:rPr>
          <w:rFonts w:hint="eastAsia" w:ascii="宋体" w:hAnsi="宋体" w:cs="宋体"/>
          <w:szCs w:val="21"/>
        </w:rPr>
        <w:t xml:space="preserve">月 </w:t>
      </w:r>
      <w:r>
        <w:rPr>
          <w:rFonts w:hint="eastAsia" w:ascii="宋体" w:hAnsi="宋体" w:cs="宋体"/>
          <w:szCs w:val="21"/>
          <w:lang w:val="en-US" w:eastAsia="zh-CN"/>
        </w:rPr>
        <w:t>24</w:t>
      </w:r>
      <w:r>
        <w:rPr>
          <w:rFonts w:hint="eastAsia" w:ascii="宋体" w:hAnsi="宋体" w:cs="宋体"/>
          <w:szCs w:val="21"/>
        </w:rPr>
        <w:t xml:space="preserve"> 日，每日上午8：00至11：30，下午14：00至17：30。</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szCs w:val="21"/>
        </w:rPr>
      </w:pPr>
      <w:r>
        <w:rPr>
          <w:rFonts w:hint="eastAsia" w:ascii="宋体" w:hAnsi="宋体" w:cs="宋体"/>
          <w:szCs w:val="21"/>
        </w:rPr>
        <w:t>2. 论证时间：北京时间2022年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25</w:t>
      </w:r>
      <w:bookmarkStart w:id="0" w:name="_GoBack"/>
      <w:bookmarkEnd w:id="0"/>
      <w:r>
        <w:rPr>
          <w:rFonts w:hint="eastAsia" w:ascii="宋体" w:hAnsi="宋体" w:cs="宋体"/>
          <w:szCs w:val="21"/>
        </w:rPr>
        <w:t xml:space="preserve"> 日下午1</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 xml:space="preserve">0 </w:t>
      </w:r>
    </w:p>
    <w:p>
      <w:pPr>
        <w:spacing w:line="360" w:lineRule="auto"/>
        <w:ind w:firstLine="420" w:firstLineChars="200"/>
        <w:rPr>
          <w:rFonts w:ascii="宋体" w:hAnsi="宋体" w:cs="宋体"/>
          <w:szCs w:val="21"/>
        </w:rPr>
      </w:pPr>
      <w:r>
        <w:rPr>
          <w:rFonts w:hint="eastAsia" w:ascii="宋体" w:hAnsi="宋体" w:cs="宋体"/>
          <w:szCs w:val="21"/>
        </w:rPr>
        <w:t>3. 论证地点： 江宁医院3号楼7楼规划室。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18"/>
        <w:numPr>
          <w:ilvl w:val="255"/>
          <w:numId w:val="0"/>
        </w:numPr>
        <w:ind w:firstLine="422" w:firstLineChars="200"/>
        <w:rPr>
          <w:rFonts w:ascii="宋体" w:hAnsi="宋体" w:eastAsia="宋体" w:cs="宋体"/>
          <w:b/>
          <w:sz w:val="21"/>
          <w:szCs w:val="21"/>
        </w:rPr>
      </w:pPr>
      <w:r>
        <w:rPr>
          <w:rFonts w:hint="eastAsia" w:ascii="宋体" w:hAnsi="宋体" w:eastAsia="宋体" w:cs="宋体"/>
          <w:b/>
          <w:sz w:val="21"/>
          <w:szCs w:val="21"/>
        </w:rPr>
        <w:t>一、项目背景：</w:t>
      </w:r>
    </w:p>
    <w:p>
      <w:pPr>
        <w:pStyle w:val="18"/>
        <w:rPr>
          <w:rFonts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spacing w:line="360" w:lineRule="auto"/>
        <w:ind w:firstLine="420" w:firstLineChars="200"/>
        <w:rPr>
          <w:rFonts w:ascii="宋体" w:hAnsi="宋体" w:cs="宋体"/>
        </w:rPr>
      </w:pPr>
      <w:r>
        <w:rPr>
          <w:rFonts w:hint="eastAsia" w:ascii="宋体" w:hAnsi="宋体" w:cs="宋体"/>
        </w:rPr>
        <w:t>为满足我院三级医院复评、电子病例五级评审等内容，我院需建立一套统一的合理用药审方系统。通过技术手段搭建合理用药管理系统及前置审方系统，给出处方/医嘱用药合理性的建议，实现药师与医师的交互，有利于减少医师的用药问题，促进合理用药和医疗卫生事业的持久发展。与此同时，建立适合江宁医院的临床合理用药监测评价体系，多维度分析医院用药情况，制定用药合理性的统一评价标准，开展合理用药实时监测及集中处方点评、前置审方工作。加强药品使用管理的统一化、同质化、合理化、规范化、科学化，提高药品使用管理工作的效率和服务水平。</w:t>
      </w:r>
    </w:p>
    <w:p>
      <w:pPr>
        <w:pStyle w:val="18"/>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11"/>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1</w:t>
            </w:r>
          </w:p>
        </w:tc>
        <w:tc>
          <w:tcPr>
            <w:tcW w:w="4540" w:type="dxa"/>
            <w:vAlign w:val="center"/>
          </w:tcPr>
          <w:p>
            <w:pPr>
              <w:widowControl/>
              <w:spacing w:line="360" w:lineRule="auto"/>
              <w:jc w:val="center"/>
              <w:rPr>
                <w:rFonts w:ascii="宋体" w:hAnsi="宋体" w:cs="宋体"/>
                <w:szCs w:val="21"/>
              </w:rPr>
            </w:pPr>
            <w:r>
              <w:rPr>
                <w:rFonts w:hint="eastAsia" w:ascii="宋体" w:hAnsi="宋体" w:cs="宋体"/>
                <w:szCs w:val="21"/>
              </w:rPr>
              <w:t>驻场维保服务</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bl>
    <w:p>
      <w:pPr>
        <w:pStyle w:val="19"/>
        <w:ind w:firstLine="0" w:firstLineChars="0"/>
        <w:rPr>
          <w:rFonts w:ascii="宋体" w:hAnsi="宋体"/>
          <w:b/>
          <w:kern w:val="0"/>
          <w:sz w:val="21"/>
          <w:szCs w:val="21"/>
        </w:rPr>
      </w:pPr>
    </w:p>
    <w:p>
      <w:pPr>
        <w:pStyle w:val="19"/>
        <w:numPr>
          <w:ilvl w:val="0"/>
          <w:numId w:val="1"/>
        </w:numPr>
        <w:ind w:firstLine="0" w:firstLineChars="0"/>
        <w:rPr>
          <w:rFonts w:ascii="宋体" w:hAnsi="宋体"/>
          <w:b/>
          <w:kern w:val="0"/>
          <w:sz w:val="21"/>
          <w:szCs w:val="21"/>
        </w:rPr>
      </w:pPr>
      <w:r>
        <w:rPr>
          <w:rFonts w:hint="eastAsia" w:ascii="宋体" w:hAnsi="宋体"/>
          <w:b/>
          <w:kern w:val="0"/>
          <w:sz w:val="21"/>
          <w:szCs w:val="21"/>
        </w:rPr>
        <w:t>招标参数</w:t>
      </w:r>
    </w:p>
    <w:p>
      <w:pPr>
        <w:spacing w:line="400" w:lineRule="exact"/>
        <w:rPr>
          <w:rFonts w:ascii="宋体" w:hAnsi="宋体" w:cs="宋体"/>
          <w:b/>
          <w:bCs/>
          <w:color w:val="000000"/>
          <w:kern w:val="0"/>
          <w:szCs w:val="21"/>
        </w:rPr>
      </w:pPr>
      <w:r>
        <w:rPr>
          <w:rFonts w:hint="eastAsia" w:ascii="宋体" w:hAnsi="宋体" w:cs="宋体"/>
          <w:b/>
          <w:bCs/>
          <w:color w:val="000000"/>
          <w:kern w:val="0"/>
          <w:szCs w:val="21"/>
        </w:rPr>
        <w:t>（一）总体要求</w:t>
      </w:r>
    </w:p>
    <w:p>
      <w:pPr>
        <w:spacing w:line="400" w:lineRule="exact"/>
        <w:ind w:firstLine="420" w:firstLineChars="200"/>
        <w:jc w:val="left"/>
        <w:rPr>
          <w:rFonts w:ascii="宋体" w:hAnsi="宋体" w:cs="宋体"/>
          <w:bCs/>
          <w:sz w:val="20"/>
          <w:szCs w:val="20"/>
        </w:rPr>
      </w:pPr>
      <w:r>
        <w:rPr>
          <w:rFonts w:hint="eastAsia" w:ascii="宋体" w:hAnsi="宋体" w:cs="宋体"/>
          <w:color w:val="333333"/>
          <w:szCs w:val="21"/>
          <w:shd w:val="clear" w:color="auto" w:fill="FFFFFF"/>
        </w:rPr>
        <w:t>▲</w:t>
      </w:r>
      <w:r>
        <w:rPr>
          <w:rFonts w:hint="eastAsia" w:ascii="宋体" w:hAnsi="宋体" w:cs="宋体"/>
          <w:bCs/>
          <w:sz w:val="20"/>
          <w:szCs w:val="20"/>
        </w:rPr>
        <w:t>（1）对新老院区在用已购买的中联基础HIS应用软件模块，如：HIS\LIS\PACS\EMR，以及已对接的第三方公司产品的接口维护。</w:t>
      </w:r>
    </w:p>
    <w:p>
      <w:pPr>
        <w:spacing w:line="400" w:lineRule="exact"/>
        <w:ind w:firstLine="400" w:firstLineChars="200"/>
        <w:jc w:val="left"/>
        <w:rPr>
          <w:rFonts w:ascii="宋体" w:hAnsi="宋体" w:cs="宋体"/>
          <w:bCs/>
          <w:sz w:val="20"/>
          <w:szCs w:val="20"/>
        </w:rPr>
      </w:pPr>
      <w:r>
        <w:rPr>
          <w:rFonts w:hint="eastAsia" w:ascii="宋体" w:hAnsi="宋体" w:cs="宋体"/>
          <w:bCs/>
          <w:sz w:val="20"/>
          <w:szCs w:val="20"/>
        </w:rPr>
        <w:t>（2）具有认证专业技术服务人员两名在医院常驻（国家正常法定双休息日及其它法定节假日除外）服务，遵从甲方的日常管理。</w:t>
      </w:r>
    </w:p>
    <w:p>
      <w:pPr>
        <w:spacing w:line="400" w:lineRule="exact"/>
        <w:ind w:firstLine="400" w:firstLineChars="200"/>
        <w:jc w:val="left"/>
        <w:rPr>
          <w:rFonts w:ascii="宋体" w:hAnsi="宋体" w:cs="宋体"/>
          <w:bCs/>
          <w:color w:val="000000"/>
          <w:sz w:val="20"/>
          <w:szCs w:val="20"/>
        </w:rPr>
      </w:pPr>
      <w:r>
        <w:rPr>
          <w:rFonts w:hint="eastAsia" w:ascii="宋体" w:hAnsi="宋体" w:cs="宋体"/>
          <w:bCs/>
          <w:sz w:val="20"/>
          <w:szCs w:val="20"/>
        </w:rPr>
        <w:t>（3）经常性地进行操作培训要成一项主要工作，驻场人员对医务人员的各个系统的操作培进行常态的指导与培训，使广大医务人员对现用的系统功能有更全面更充分的掌握与认知，这样方能进一步稳定与巩固在用系统的使用效能。</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（4）要深入了解临床需求，广泛听取职工们对医院信息化的要求、建议，通过正规的信息渠道来畅通医院、公司与职工之间的沟通，方能有利于医院信息化建设的健康发展。</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（5）随着信息驻场的深入，对信息技术进行统一管理和整合。</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（6）日常故障处理、产品安装及升级服务、报表新增及修改服务、操作使用指导、外部接口调试、信息系统建设咨询、软件业务流程重组</w:t>
      </w:r>
    </w:p>
    <w:p>
      <w:pPr>
        <w:pStyle w:val="19"/>
        <w:ind w:firstLine="0" w:firstLineChars="0"/>
        <w:rPr>
          <w:rFonts w:ascii="宋体" w:hAnsi="宋体"/>
          <w:b/>
          <w:kern w:val="0"/>
          <w:sz w:val="21"/>
          <w:szCs w:val="21"/>
        </w:rPr>
      </w:pPr>
    </w:p>
    <w:p>
      <w:pPr>
        <w:pStyle w:val="19"/>
        <w:ind w:firstLine="0" w:firstLineChars="0"/>
        <w:rPr>
          <w:rFonts w:ascii="宋体" w:hAnsi="宋体"/>
          <w:b/>
          <w:kern w:val="0"/>
          <w:sz w:val="21"/>
          <w:szCs w:val="21"/>
        </w:rPr>
      </w:pPr>
      <w:r>
        <w:rPr>
          <w:rFonts w:hint="eastAsia" w:ascii="宋体" w:hAnsi="宋体"/>
          <w:b/>
          <w:kern w:val="0"/>
          <w:sz w:val="21"/>
          <w:szCs w:val="21"/>
        </w:rPr>
        <w:t>（二）系统功能技术参数要求</w:t>
      </w:r>
    </w:p>
    <w:p>
      <w:pPr>
        <w:spacing w:before="120" w:line="360" w:lineRule="auto"/>
        <w:jc w:val="left"/>
        <w:rPr>
          <w:rFonts w:ascii="宋体" w:hAnsi="宋体" w:cs="宋体"/>
          <w:b/>
          <w:sz w:val="22"/>
        </w:rPr>
      </w:pPr>
      <w:r>
        <w:rPr>
          <w:rFonts w:hint="eastAsia" w:ascii="宋体" w:hAnsi="宋体" w:cs="宋体"/>
          <w:b/>
          <w:sz w:val="22"/>
        </w:rPr>
        <w:t>1）软件维护类</w:t>
      </w:r>
    </w:p>
    <w:tbl>
      <w:tblPr>
        <w:tblStyle w:val="11"/>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211"/>
        <w:gridCol w:w="56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r>
              <w:rPr>
                <w:rFonts w:hint="eastAsia" w:ascii="宋体" w:hAnsi="宋体" w:cs="宋体"/>
                <w:sz w:val="20"/>
                <w:szCs w:val="20"/>
                <w:lang w:val="zh-TW" w:eastAsia="zh-TW"/>
              </w:rPr>
              <w:t>应用软件类</w:t>
            </w: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产品安装服务</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因硬件环境改变或软件系统破坏等原因，需要重新安装ZLSOFT应用软件及相应设置的服务。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restart"/>
            <w:tcBorders>
              <w:top w:val="single" w:color="auto" w:sz="4" w:space="0"/>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sz w:val="20"/>
                <w:szCs w:val="20"/>
              </w:rPr>
              <w:t>产品升级服务</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医院对前期老院区在用已购买的中联基础HIS应用软件模块(如HIS\LIS\PACS升级版\EMR升级版\CP等并，但不包括新院区后续升级改造中纯项目化定制开发系统，如：新门诊业务系统、集成平台、病理、中联智能用药系统、CDR、ODR、等目前尚在建或处于一年免保期的系统)，对既有软件模块可以实现的范围内所提的修改意见，公司根据医院的合理要求进行软件修改，并提供软件升级补丁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定期发布产品升级程序，并及时对医院进行软件升级，以保持最新的软件版本。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rPr>
              <w:t>报表修改服务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根据医院管理及业务的需要，对现有报表作适应性修改、调整服务。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新增报表服务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根据医院管理及业务的需要，新增报表的编制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操作使用指导</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医院对软件功能或操作使用不熟悉，需提供的操作使用咨询或现场指导服务。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r>
              <w:rPr>
                <w:rFonts w:hint="eastAsia" w:ascii="宋体" w:hAnsi="宋体" w:cs="宋体"/>
                <w:color w:val="333333"/>
                <w:szCs w:val="21"/>
                <w:shd w:val="clear" w:color="auto" w:fill="FFFFFF"/>
              </w:rPr>
              <w:t>▲</w:t>
            </w:r>
            <w:r>
              <w:rPr>
                <w:rFonts w:hint="eastAsia" w:ascii="宋体" w:hAnsi="宋体" w:cs="宋体"/>
                <w:sz w:val="20"/>
                <w:szCs w:val="20"/>
                <w:lang w:val="zh-TW" w:eastAsia="zh-TW"/>
              </w:rPr>
              <w:t>外部接口调试</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因医保政策调整（医保类型改变、医保接口方式改变、医保厂家改变不在其列）而带来的接口调整，提供的接口程序修改或安装调试服务；无需另行开发接口的PACS\LIS仪器连接，免收接口费用；第三方软件及第三方产品接口不在其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日常故障处理</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因医院管理及业务要求需对软件进行调整与设置，或医院操作人员操作失误、程序故障等原因所需提供的故障清除服务。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工作站操作系统安装</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因医院新增PC工作站所需进行的操作系统及常用工具软件的安装调试服务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工作站操作系统修复服务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因工作站操作系统破坏所需进行操作系统重装或修复服务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操作系统优化及漏洞修补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对操作系统日志整理、安全检测、补丁修补等性能优化服务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信息系统建设咨询</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结合医院实际情况，提供信息系统建设规划建议与方案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业务流程重组</w:t>
            </w:r>
          </w:p>
        </w:tc>
        <w:tc>
          <w:tcPr>
            <w:tcW w:w="3330" w:type="pct"/>
            <w:tcBorders>
              <w:top w:val="single" w:color="000000"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根据医院信息系统的特点与需要，结合医院实际情况，协助医院完成对管理及业务流程的优化与调整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r>
              <w:rPr>
                <w:rFonts w:hint="eastAsia" w:ascii="宋体" w:hAnsi="宋体" w:cs="宋体"/>
                <w:sz w:val="20"/>
                <w:szCs w:val="20"/>
              </w:rPr>
              <w:t>信息管理制度建设</w:t>
            </w:r>
          </w:p>
        </w:tc>
        <w:tc>
          <w:tcPr>
            <w:tcW w:w="3330"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结合医院实际情况，配合并协助医院信息科建立完善一套切实可行的信息管理制度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医院管理知识的交流与传播</w:t>
            </w:r>
          </w:p>
        </w:tc>
        <w:tc>
          <w:tcPr>
            <w:tcW w:w="3330" w:type="pct"/>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为医院管理相关人员提供行业知识、信息，及时向院方传递医院信息发展的最新动态与新的解决方案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auto" w:sz="4" w:space="0"/>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系统软件及数据库软件类</w:t>
            </w: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服务器操作系统安装</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因医院新增服务器或双机所需进行的操作系统安装调试服务（医院须提供正版操作系统）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操作系统修复服务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因服务器操作系统破坏所需进行操作系统重装或修复服务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操作系统优化及漏洞修补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对操作系统日志整理、安全检测、补丁修补等性能优化服务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操作系统相关维护</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DBA要注意对操作系统的监控: ●文件系统的空间使用情况(df -k)，必要时对Oracle的警告日志及TRC文件进行清理 ●如果Oracle提供网络服务，检查网络连接是否正常 ●检查操作系统的资源使用情况是否正常 ●检查数据库服务器有没有硬件故障，如磁盘、内存报错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数据库的安装调试</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因医院新增服务器、双机、工作站或硬件破坏等所需进行的数据库安装调试服务（医院需提供正版数据库系统）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r>
              <w:rPr>
                <w:rFonts w:hint="eastAsia" w:ascii="宋体" w:hAnsi="宋体" w:cs="宋体"/>
                <w:sz w:val="20"/>
                <w:szCs w:val="20"/>
                <w:lang w:val="zh-TW" w:eastAsia="zh-TW"/>
              </w:rPr>
              <w:t>数据迁移服务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因医院硬件环境改变，需要对原有数据库及数据转移到其它系统上运行的服务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数据库备份</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根据医院确认的数据备份方案，进行数据备份方式的设置，并测试数据备份的有效性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000000"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数据库灾难恢复</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当系统出现灾难性事故后，对系统数据进行恢复服务，用户须提供有效的备份数据，否则将不保证数据完全恢复，只能将损失减到最小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lang w:val="zh-TW" w:eastAsia="zh-TW"/>
              </w:rPr>
              <w:t>数据库性能优化</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lang w:val="zh-TW" w:eastAsia="zh-TW"/>
              </w:rPr>
              <w:t>定期对数据库进行性能测试，优化参数设置及日志清除等，提高数据库性能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数据库安全检查</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lang w:val="zh-TW" w:eastAsia="zh-TW"/>
              </w:rPr>
              <w:t>定期对数据备份的有效性、表空间大小、硬件支撑能力、数据库的安全隐患等进行检测，并及时进行相应设置及补丁修补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信息系统安全评估</w:t>
            </w:r>
          </w:p>
        </w:tc>
        <w:tc>
          <w:tcPr>
            <w:tcW w:w="3330" w:type="pct"/>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lang w:val="zh-TW" w:eastAsia="zh-TW"/>
              </w:rPr>
              <w:t>对医院网络系统的运行安全及数据安全等级进行评估，出据评估报告，并提供安全解决方案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Oracle警告日志文件监控</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rPr>
              <w:t xml:space="preserve">Oracle在运行过程中，对警告日志文件(alert_SID.log)中记录数据库的一些运行情况进行监控及处置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数据库表空间使用情况监控</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DBA应该及时了解表空间的碎片和可用空间情况，以决定是否要对碎片进行整理或为表空间增加数据文件。 定期进行索引和碎片整理，保证索引的有效性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r>
              <w:rPr>
                <w:rFonts w:hint="eastAsia" w:ascii="宋体" w:hAnsi="宋体" w:cs="宋体"/>
                <w:sz w:val="20"/>
                <w:szCs w:val="20"/>
                <w:lang w:val="zh-TW" w:eastAsia="zh-TW"/>
              </w:rPr>
              <w:t>查看数据库的连接情况</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lang w:val="zh-TW" w:eastAsia="zh-TW"/>
              </w:rPr>
              <w:t>定时对数据库的连接情况进行检查，看与数据库建立的会话数目是不是正常，同时，对一些“挂死”的连接，需要DBA手工进行清理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控制文件的备份</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在数据库结构发生变化时，如增加了表空间，增加了数据文件或重做日志文件这些操作，DBA应及进行控制文件的备份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检查数据库文件的状态</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及时查看数据库中数据文件的状态(如被误删除)，根据实际情况决定如何进行处理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检查数据库定时作业的完成情况</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当数据库使用了Oracle的JOB来完成一些定时作业，则要对这些JOB的运行情况进行检查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719" w:type="pct"/>
            <w:tcBorders>
              <w:top w:val="single" w:color="auto" w:sz="4" w:space="0"/>
              <w:left w:val="single" w:color="000000" w:sz="4" w:space="0"/>
              <w:bottom w:val="single" w:color="auto"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lang w:val="zh-TW" w:eastAsia="zh-TW"/>
              </w:rPr>
              <w:t>数据库坏块的处理</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当Oracle数据库出现坏块时，代表坏块所在数据文件的绝对文件号，代表坏块是数据文件上的第几个数据块出现这种情况时，需检测硬件及操作系统上的故障，排除数据库原因时，需对发生坏块的数据库对象进行处理。</w:t>
            </w:r>
          </w:p>
        </w:tc>
      </w:tr>
    </w:tbl>
    <w:p>
      <w:pPr>
        <w:spacing w:before="120" w:line="360" w:lineRule="auto"/>
        <w:jc w:val="left"/>
        <w:rPr>
          <w:rFonts w:ascii="宋体" w:hAnsi="宋体" w:cs="宋体"/>
          <w:szCs w:val="21"/>
        </w:rPr>
      </w:pPr>
      <w:r>
        <w:rPr>
          <w:rFonts w:hint="eastAsia" w:ascii="宋体" w:hAnsi="宋体" w:cs="宋体"/>
          <w:szCs w:val="21"/>
        </w:rPr>
        <w:t>注：标</w:t>
      </w:r>
      <w:r>
        <w:rPr>
          <w:rFonts w:hint="eastAsia" w:ascii="宋体" w:hAnsi="宋体" w:cs="宋体"/>
          <w:color w:val="333333"/>
          <w:szCs w:val="21"/>
          <w:shd w:val="clear" w:color="auto" w:fill="FFFFFF"/>
        </w:rPr>
        <w:t>▲为关键指标项，如不满足严重负偏离影响投标产品服务、性能的经半数以上评委认定，本项不得分。</w:t>
      </w:r>
    </w:p>
    <w:p>
      <w:pPr>
        <w:pStyle w:val="19"/>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w:t>
      </w:r>
      <w:r>
        <w:rPr>
          <w:rFonts w:ascii="宋体" w:hAnsi="宋体" w:cs="宋体"/>
          <w:b/>
          <w:color w:val="000000"/>
          <w:spacing w:val="6"/>
          <w:kern w:val="48"/>
          <w:sz w:val="20"/>
          <w:szCs w:val="20"/>
          <w:u w:val="single"/>
        </w:rPr>
        <w:t>1</w:t>
      </w:r>
      <w:r>
        <w:rPr>
          <w:rFonts w:hint="eastAsia" w:ascii="宋体" w:hAnsi="宋体" w:cs="宋体"/>
          <w:b/>
          <w:color w:val="000000"/>
          <w:spacing w:val="6"/>
          <w:kern w:val="48"/>
          <w:sz w:val="20"/>
          <w:szCs w:val="20"/>
          <w:u w:val="single"/>
        </w:rPr>
        <w:t>）售后服务要求：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1、售后服务机制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1.1.供应商应提供全方位的服务，包括：技术咨询、操作培训、系统维护、数据库调优等。</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1.2.有专门的服务队伍，以确保服务畅通和高效，实行项目经理负责制。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1.3.有完备的跟踪服务制度，通过定期的电话回访、走访等方式对服务进行跟踪，以保证客户满意。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2、售后服务体系</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2.2对项目实行“首问负责制”，即对于采购人所提出的需要解决和服务的问题，只要将该问题对售后服务部门内任何一位员工反映即可得到主动式服务。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3、售后服务方式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 xml:space="preserve">3.1.电话支持，为使用方提供 </w:t>
      </w:r>
      <w:r>
        <w:rPr>
          <w:rFonts w:ascii="宋体" w:hAnsi="宋体" w:cs="宋体"/>
          <w:color w:val="000000"/>
          <w:spacing w:val="6"/>
          <w:kern w:val="48"/>
          <w:sz w:val="20"/>
          <w:szCs w:val="20"/>
        </w:rPr>
        <w:t>24</w:t>
      </w:r>
      <w:r>
        <w:rPr>
          <w:rFonts w:hint="eastAsia" w:ascii="宋体" w:hAnsi="宋体" w:cs="宋体"/>
          <w:color w:val="000000"/>
          <w:spacing w:val="6"/>
          <w:kern w:val="48"/>
          <w:sz w:val="20"/>
          <w:szCs w:val="20"/>
        </w:rPr>
        <w:t xml:space="preserve"> 小时×7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4、售后服务范围</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4.1.提供相关帮助文档，开展相关培训；</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4.2.日常运行中的故障排除及维护；系统所处网络环境、主机及其他外设适配带来的调整工作；系统与其他软件适配带来的调整工作；</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4.3.随着软件产品不断的更新换代，主动及时地给采购人发放升级信息等相关资料，根据采购人需求为其提供个性化升级服务；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4.4.其他可通过远程协助解决的技术问题；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5、</w:t>
      </w:r>
      <w:r>
        <w:rPr>
          <w:rFonts w:hint="eastAsia" w:ascii="宋体" w:hAnsi="宋体" w:cs="宋体"/>
          <w:color w:val="000000"/>
          <w:spacing w:val="6"/>
          <w:kern w:val="48"/>
          <w:sz w:val="20"/>
          <w:szCs w:val="20"/>
          <w:u w:val="single"/>
        </w:rPr>
        <w:t>售后服务维保要求：提供/年免费质保服务</w:t>
      </w:r>
      <w:r>
        <w:rPr>
          <w:rFonts w:hint="eastAsia" w:ascii="宋体" w:hAnsi="宋体" w:cs="宋体"/>
          <w:color w:val="000000"/>
          <w:spacing w:val="6"/>
          <w:kern w:val="48"/>
          <w:sz w:val="20"/>
          <w:szCs w:val="20"/>
        </w:rPr>
        <w:t>。</w:t>
      </w:r>
    </w:p>
    <w:p>
      <w:pPr>
        <w:pStyle w:val="4"/>
        <w:rPr>
          <w:rFonts w:ascii="宋体" w:hAnsi="宋体" w:eastAsia="宋体" w:cs="宋体"/>
          <w:color w:val="000000"/>
          <w:spacing w:val="6"/>
          <w:kern w:val="48"/>
          <w:sz w:val="24"/>
          <w:szCs w:val="24"/>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14ADD"/>
    <w:rsid w:val="00030F32"/>
    <w:rsid w:val="00050FC1"/>
    <w:rsid w:val="000D3667"/>
    <w:rsid w:val="001A6744"/>
    <w:rsid w:val="001C52C2"/>
    <w:rsid w:val="001D01BD"/>
    <w:rsid w:val="00210D97"/>
    <w:rsid w:val="00271742"/>
    <w:rsid w:val="002C318E"/>
    <w:rsid w:val="00396053"/>
    <w:rsid w:val="00407202"/>
    <w:rsid w:val="00426BF6"/>
    <w:rsid w:val="00443342"/>
    <w:rsid w:val="004612F6"/>
    <w:rsid w:val="0046229E"/>
    <w:rsid w:val="004627CE"/>
    <w:rsid w:val="00492D7A"/>
    <w:rsid w:val="005400B1"/>
    <w:rsid w:val="005E7321"/>
    <w:rsid w:val="006521CA"/>
    <w:rsid w:val="006C3FEA"/>
    <w:rsid w:val="006D03D6"/>
    <w:rsid w:val="00701F0A"/>
    <w:rsid w:val="00780935"/>
    <w:rsid w:val="00784851"/>
    <w:rsid w:val="00842B4C"/>
    <w:rsid w:val="0087659C"/>
    <w:rsid w:val="008A48F4"/>
    <w:rsid w:val="008C6CF0"/>
    <w:rsid w:val="008D50AB"/>
    <w:rsid w:val="009171F0"/>
    <w:rsid w:val="00930C42"/>
    <w:rsid w:val="00966619"/>
    <w:rsid w:val="00AB018F"/>
    <w:rsid w:val="00B00AA0"/>
    <w:rsid w:val="00B73265"/>
    <w:rsid w:val="00B9550F"/>
    <w:rsid w:val="00C13E3C"/>
    <w:rsid w:val="00C2167D"/>
    <w:rsid w:val="00C42CED"/>
    <w:rsid w:val="00CA7EB5"/>
    <w:rsid w:val="00CF1A81"/>
    <w:rsid w:val="00D114EF"/>
    <w:rsid w:val="00D918E8"/>
    <w:rsid w:val="00DD63E3"/>
    <w:rsid w:val="00E322E9"/>
    <w:rsid w:val="00E54901"/>
    <w:rsid w:val="00EC3904"/>
    <w:rsid w:val="00F06928"/>
    <w:rsid w:val="00F11C70"/>
    <w:rsid w:val="00F37A54"/>
    <w:rsid w:val="00F77940"/>
    <w:rsid w:val="00FA1EF5"/>
    <w:rsid w:val="00FB7872"/>
    <w:rsid w:val="00FC6A47"/>
    <w:rsid w:val="05700B87"/>
    <w:rsid w:val="0A705385"/>
    <w:rsid w:val="12821ED9"/>
    <w:rsid w:val="15525935"/>
    <w:rsid w:val="17005FBC"/>
    <w:rsid w:val="176075D7"/>
    <w:rsid w:val="19EF52D8"/>
    <w:rsid w:val="1BCF0653"/>
    <w:rsid w:val="1DF51CE6"/>
    <w:rsid w:val="1DF8560E"/>
    <w:rsid w:val="29023D0F"/>
    <w:rsid w:val="3E337180"/>
    <w:rsid w:val="43B67926"/>
    <w:rsid w:val="443F1892"/>
    <w:rsid w:val="4473751E"/>
    <w:rsid w:val="44895441"/>
    <w:rsid w:val="486A6E89"/>
    <w:rsid w:val="491446BA"/>
    <w:rsid w:val="4A083D2C"/>
    <w:rsid w:val="4A5A760D"/>
    <w:rsid w:val="4EA14C89"/>
    <w:rsid w:val="51295B34"/>
    <w:rsid w:val="544E6B34"/>
    <w:rsid w:val="5A1E6A6C"/>
    <w:rsid w:val="6764271C"/>
    <w:rsid w:val="681F6A8B"/>
    <w:rsid w:val="6DC15D38"/>
    <w:rsid w:val="70484351"/>
    <w:rsid w:val="731A162D"/>
    <w:rsid w:val="73A85F67"/>
    <w:rsid w:val="77CC1A02"/>
    <w:rsid w:val="77F373ED"/>
    <w:rsid w:val="7828099D"/>
    <w:rsid w:val="797F1EE5"/>
    <w:rsid w:val="799C4CB3"/>
    <w:rsid w:val="7A1D4057"/>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pPr>
    <w:rPr>
      <w:b/>
      <w:kern w:val="0"/>
      <w:sz w:val="30"/>
    </w:rPr>
  </w:style>
  <w:style w:type="paragraph" w:styleId="3">
    <w:name w:val="annotation text"/>
    <w:basedOn w:val="1"/>
    <w:semiHidden/>
    <w:unhideWhenUsed/>
    <w:qFormat/>
    <w:uiPriority w:val="99"/>
    <w:pPr>
      <w:jc w:val="left"/>
    </w:pPr>
  </w:style>
  <w:style w:type="paragraph" w:styleId="4">
    <w:name w:val="Body Text"/>
    <w:basedOn w:val="1"/>
    <w:qFormat/>
    <w:uiPriority w:val="0"/>
    <w:rPr>
      <w:rFonts w:ascii="楷体_GB2312" w:hAnsi="Arial" w:eastAsia="楷体_GB2312"/>
      <w:sz w:val="28"/>
      <w:szCs w:val="28"/>
    </w:rPr>
  </w:style>
  <w:style w:type="paragraph" w:styleId="5">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6">
    <w:name w:val="index 4"/>
    <w:basedOn w:val="1"/>
    <w:next w:val="1"/>
    <w:qFormat/>
    <w:uiPriority w:val="0"/>
    <w:pPr>
      <w:ind w:left="600" w:leftChars="600"/>
    </w:pPr>
    <w:rPr>
      <w:rFonts w:eastAsia="仿宋_GB2312"/>
      <w:sz w:val="24"/>
    </w:rPr>
  </w:style>
  <w:style w:type="paragraph" w:styleId="7">
    <w:name w:val="Balloon Text"/>
    <w:basedOn w:val="1"/>
    <w:link w:val="26"/>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列表段落 字符"/>
    <w:link w:val="18"/>
    <w:qFormat/>
    <w:uiPriority w:val="34"/>
    <w:rPr>
      <w:sz w:val="24"/>
      <w:szCs w:val="24"/>
    </w:rPr>
  </w:style>
  <w:style w:type="paragraph" w:customStyle="1" w:styleId="18">
    <w:name w:val="列出段落1"/>
    <w:basedOn w:val="1"/>
    <w:link w:val="17"/>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19">
    <w:name w:val="样式 首行缩进:  2.25 字符"/>
    <w:basedOn w:val="1"/>
    <w:qFormat/>
    <w:uiPriority w:val="0"/>
    <w:pPr>
      <w:spacing w:line="360" w:lineRule="auto"/>
      <w:ind w:firstLine="225" w:firstLineChars="225"/>
    </w:pPr>
    <w:rPr>
      <w:rFonts w:cs="宋体"/>
      <w:sz w:val="24"/>
      <w:szCs w:val="20"/>
    </w:rPr>
  </w:style>
  <w:style w:type="paragraph" w:customStyle="1" w:styleId="20">
    <w:name w:val="列出段落2"/>
    <w:basedOn w:val="1"/>
    <w:qFormat/>
    <w:uiPriority w:val="34"/>
    <w:pPr>
      <w:ind w:firstLine="420" w:firstLineChars="200"/>
    </w:pPr>
    <w:rPr>
      <w:rFonts w:ascii="Times New Roman" w:hAnsi="Times New Roman"/>
      <w:szCs w:val="24"/>
    </w:rPr>
  </w:style>
  <w:style w:type="paragraph" w:customStyle="1" w:styleId="21">
    <w:name w:val="_Style 4"/>
    <w:basedOn w:val="1"/>
    <w:qFormat/>
    <w:uiPriority w:val="99"/>
    <w:pPr>
      <w:ind w:firstLine="420" w:firstLineChars="200"/>
    </w:pPr>
  </w:style>
  <w:style w:type="paragraph" w:styleId="22">
    <w:name w:val="List Paragraph"/>
    <w:basedOn w:val="1"/>
    <w:qFormat/>
    <w:uiPriority w:val="34"/>
    <w:pPr>
      <w:ind w:firstLine="420" w:firstLineChars="200"/>
    </w:pPr>
  </w:style>
  <w:style w:type="paragraph" w:customStyle="1" w:styleId="23">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4">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5">
    <w:name w:val="列表段落1"/>
    <w:basedOn w:val="1"/>
    <w:qFormat/>
    <w:uiPriority w:val="34"/>
    <w:pPr>
      <w:ind w:firstLine="420" w:firstLineChars="200"/>
    </w:pPr>
    <w:rPr>
      <w:szCs w:val="24"/>
    </w:rPr>
  </w:style>
  <w:style w:type="character" w:customStyle="1" w:styleId="26">
    <w:name w:val="批注框文本 字符"/>
    <w:basedOn w:val="13"/>
    <w:link w:val="7"/>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4133</Words>
  <Characters>4341</Characters>
  <Lines>32</Lines>
  <Paragraphs>9</Paragraphs>
  <TotalTime>108</TotalTime>
  <ScaleCrop>false</ScaleCrop>
  <LinksUpToDate>false</LinksUpToDate>
  <CharactersWithSpaces>4382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2022-06-25T02:25:00Z</cp:lastPrinted>
  <dcterms:modified xsi:type="dcterms:W3CDTF">2022-07-19T03:19:42Z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E28F7587DC884FD4AAD3E883577E99D8</vt:lpwstr>
  </property>
</Properties>
</file>